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101bis</w:t>
      </w:r>
      <w:r>
        <w:rPr>
          <w:rFonts w:ascii="Arial" w:hAnsi="Arial" w:eastAsia="宋体" w:cs="Arial"/>
          <w:b/>
          <w:color w:val="auto"/>
          <w:sz w:val="24"/>
          <w:lang w:eastAsia="zh-CN"/>
        </w:rPr>
        <w:t>-e</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200589</w:t>
      </w:r>
    </w:p>
    <w:p>
      <w:pPr>
        <w:tabs>
          <w:tab w:val="left" w:pos="3106"/>
          <w:tab w:val="center" w:pos="4536"/>
          <w:tab w:val="right" w:pos="9072"/>
        </w:tabs>
        <w:jc w:val="both"/>
        <w:rPr>
          <w:rFonts w:ascii="Arial" w:hAnsi="Arial" w:eastAsia="宋体"/>
          <w:b/>
          <w:color w:val="auto"/>
          <w:sz w:val="24"/>
          <w:lang w:val="en-GB" w:eastAsia="zh-CN"/>
        </w:rPr>
      </w:pPr>
      <w:r>
        <w:rPr>
          <w:rFonts w:ascii="Arial" w:hAnsi="Arial" w:eastAsia="宋体"/>
          <w:b/>
          <w:color w:val="auto"/>
          <w:sz w:val="24"/>
          <w:lang w:eastAsia="zh-CN"/>
        </w:rPr>
        <w:t xml:space="preserve">Electronic Meeting, </w:t>
      </w:r>
      <w:r>
        <w:rPr>
          <w:rFonts w:hint="eastAsia" w:ascii="Arial" w:hAnsi="Arial" w:eastAsia="宋体"/>
          <w:b/>
          <w:color w:val="auto"/>
          <w:sz w:val="24"/>
          <w:lang w:val="en-US" w:eastAsia="zh-CN"/>
        </w:rPr>
        <w:t>17</w:t>
      </w:r>
      <w:r>
        <w:rPr>
          <w:rFonts w:hint="eastAsia" w:ascii="Arial" w:hAnsi="Arial" w:eastAsia="宋体"/>
          <w:b/>
          <w:color w:val="auto"/>
          <w:sz w:val="24"/>
          <w:vertAlign w:val="superscript"/>
          <w:lang w:val="en-US" w:eastAsia="zh-CN"/>
        </w:rPr>
        <w:t>st</w:t>
      </w:r>
      <w:r>
        <w:rPr>
          <w:rFonts w:ascii="Arial" w:hAnsi="Arial" w:eastAsia="宋体"/>
          <w:b/>
          <w:color w:val="auto"/>
          <w:sz w:val="24"/>
          <w:lang w:eastAsia="zh-CN"/>
        </w:rPr>
        <w:t xml:space="preserve"> - </w:t>
      </w:r>
      <w:r>
        <w:rPr>
          <w:rFonts w:hint="eastAsia" w:ascii="Arial" w:hAnsi="Arial" w:eastAsia="宋体"/>
          <w:b/>
          <w:color w:val="auto"/>
          <w:sz w:val="24"/>
          <w:lang w:val="en-US" w:eastAsia="zh-CN"/>
        </w:rPr>
        <w:t>25</w:t>
      </w:r>
      <w:r>
        <w:rPr>
          <w:rFonts w:ascii="Arial" w:hAnsi="Arial" w:eastAsia="宋体"/>
          <w:b/>
          <w:color w:val="auto"/>
          <w:sz w:val="24"/>
          <w:vertAlign w:val="superscript"/>
          <w:lang w:eastAsia="zh-CN"/>
        </w:rPr>
        <w:t>th</w:t>
      </w:r>
      <w:r>
        <w:rPr>
          <w:rFonts w:ascii="Arial" w:hAnsi="Arial" w:eastAsia="宋体"/>
          <w:b/>
          <w:color w:val="auto"/>
          <w:sz w:val="24"/>
          <w:lang w:eastAsia="zh-CN"/>
        </w:rPr>
        <w:t xml:space="preserve"> </w:t>
      </w:r>
      <w:r>
        <w:rPr>
          <w:rFonts w:hint="eastAsia" w:ascii="Arial" w:hAnsi="Arial" w:eastAsia="宋体"/>
          <w:b/>
          <w:color w:val="auto"/>
          <w:sz w:val="24"/>
          <w:lang w:val="en-US" w:eastAsia="zh-CN"/>
        </w:rPr>
        <w:t>Jan</w:t>
      </w:r>
      <w:r>
        <w:rPr>
          <w:rFonts w:ascii="Arial" w:hAnsi="Arial" w:eastAsia="宋体"/>
          <w:b/>
          <w:color w:val="auto"/>
          <w:sz w:val="24"/>
          <w:lang w:eastAsia="zh-CN"/>
        </w:rPr>
        <w:t>, 202</w:t>
      </w:r>
      <w:r>
        <w:rPr>
          <w:rFonts w:hint="eastAsia" w:ascii="Arial" w:hAnsi="Arial" w:eastAsia="宋体"/>
          <w:b/>
          <w:color w:val="auto"/>
          <w:sz w:val="24"/>
          <w:lang w:val="en-US" w:eastAsia="zh-CN"/>
        </w:rPr>
        <w:t>2</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3"/>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3"/>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bookmarkStart w:id="0" w:name="OLE_LINK4"/>
      <w:r>
        <w:rPr>
          <w:rFonts w:hint="eastAsia" w:eastAsia="宋体"/>
          <w:color w:val="auto"/>
          <w:sz w:val="24"/>
          <w:lang w:val="en-US" w:eastAsia="zh-CN"/>
        </w:rPr>
        <w:t xml:space="preserve">Discussion on UL gap for </w:t>
      </w:r>
      <w:bookmarkEnd w:id="0"/>
      <w:r>
        <w:rPr>
          <w:rFonts w:hint="eastAsia" w:eastAsia="宋体"/>
          <w:color w:val="auto"/>
          <w:sz w:val="24"/>
          <w:lang w:val="en-US" w:eastAsia="zh-CN"/>
        </w:rPr>
        <w:t>Tx power management</w:t>
      </w:r>
    </w:p>
    <w:p>
      <w:pPr>
        <w:pStyle w:val="13"/>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6.4.3.1</w:t>
      </w:r>
    </w:p>
    <w:p>
      <w:pPr>
        <w:pStyle w:val="13"/>
        <w:tabs>
          <w:tab w:val="left" w:pos="1800"/>
        </w:tabs>
        <w:snapToGrid w:val="0"/>
        <w:spacing w:after="240"/>
        <w:jc w:val="both"/>
        <w:rPr>
          <w:rFonts w:eastAsia="宋体"/>
          <w:color w:val="auto"/>
          <w:sz w:val="24"/>
          <w:lang w:val="en-US" w:eastAsia="zh-CN"/>
        </w:rPr>
      </w:pPr>
      <w:r>
        <w:rPr>
          <w:color w:val="auto"/>
          <w:sz w:val="24"/>
        </w:rPr>
        <w:t>Document for:</w:t>
      </w:r>
      <w:r>
        <w:rPr>
          <w:color w:val="auto"/>
          <w:sz w:val="24"/>
        </w:rPr>
        <w:tab/>
      </w:r>
      <w:bookmarkStart w:id="2" w:name="_GoBack"/>
      <w:bookmarkEnd w:id="2"/>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3"/>
        <w:tabs>
          <w:tab w:val="left" w:pos="226"/>
          <w:tab w:val="left" w:pos="284"/>
          <w:tab w:val="left" w:pos="5103"/>
        </w:tabs>
        <w:snapToGrid w:val="0"/>
        <w:spacing w:before="156" w:beforeLines="50"/>
        <w:rPr>
          <w:rFonts w:hint="eastAsia" w:eastAsia="宋体"/>
          <w:color w:val="auto"/>
          <w:sz w:val="21"/>
          <w:szCs w:val="21"/>
          <w:lang w:val="en-US" w:eastAsia="zh-CN"/>
        </w:rPr>
      </w:pPr>
      <w:r>
        <w:rPr>
          <w:rFonts w:hint="default" w:eastAsia="宋体"/>
          <w:color w:val="auto"/>
          <w:sz w:val="21"/>
          <w:szCs w:val="21"/>
          <w:lang w:val="en-US" w:eastAsia="zh-CN"/>
        </w:rPr>
        <w:t xml:space="preserve">In </w:t>
      </w:r>
      <w:r>
        <w:rPr>
          <w:rFonts w:hint="eastAsia" w:eastAsia="宋体"/>
          <w:color w:val="auto"/>
          <w:sz w:val="21"/>
          <w:szCs w:val="21"/>
          <w:lang w:val="en-US" w:eastAsia="zh-CN"/>
        </w:rPr>
        <w:t>101 e-meeting, one WF [1] was approved, the agreements are summarized as follows.</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0"/>
                <w:numId w:val="0"/>
              </w:numPr>
              <w:autoSpaceDE w:val="0"/>
              <w:autoSpaceDN w:val="0"/>
              <w:adjustRightInd w:val="0"/>
              <w:spacing w:after="0"/>
              <w:rPr>
                <w:rFonts w:hint="eastAsia" w:eastAsia="宋体"/>
                <w:b/>
                <w:bCs/>
                <w:color w:val="auto"/>
                <w:sz w:val="21"/>
                <w:szCs w:val="21"/>
                <w:vertAlign w:val="baseline"/>
                <w:lang w:val="en-US" w:eastAsia="zh-CN"/>
              </w:rPr>
            </w:pPr>
            <w:bookmarkStart w:id="1" w:name="OLE_LINK1"/>
            <w:r>
              <w:rPr>
                <w:rFonts w:hint="default" w:eastAsia="宋体"/>
                <w:b/>
                <w:bCs/>
                <w:color w:val="auto"/>
                <w:sz w:val="21"/>
                <w:szCs w:val="21"/>
                <w:vertAlign w:val="baseline"/>
                <w:lang w:val="en-US" w:eastAsia="zh-CN"/>
              </w:rPr>
              <w:t>Tx power management</w:t>
            </w:r>
            <w:r>
              <w:rPr>
                <w:rFonts w:hint="eastAsia" w:eastAsia="宋体"/>
                <w:b/>
                <w:bCs/>
                <w:color w:val="auto"/>
                <w:sz w:val="21"/>
                <w:szCs w:val="21"/>
                <w:vertAlign w:val="baseline"/>
                <w:lang w:val="en-US" w:eastAsia="zh-CN"/>
              </w:rPr>
              <w:t>: RF aspect</w:t>
            </w:r>
          </w:p>
          <w:p>
            <w:pPr>
              <w:rPr>
                <w:sz w:val="20"/>
                <w:szCs w:val="20"/>
              </w:rPr>
            </w:pPr>
            <w:r>
              <w:rPr>
                <w:sz w:val="20"/>
                <w:szCs w:val="20"/>
              </w:rPr>
              <w:t xml:space="preserve">Agreement: </w:t>
            </w:r>
          </w:p>
          <w:p>
            <w:pPr>
              <w:numPr>
                <w:ilvl w:val="0"/>
                <w:numId w:val="4"/>
              </w:numPr>
              <w:rPr>
                <w:sz w:val="20"/>
                <w:szCs w:val="20"/>
              </w:rPr>
            </w:pPr>
            <w:r>
              <w:rPr>
                <w:sz w:val="20"/>
                <w:szCs w:val="20"/>
              </w:rPr>
              <w:t>The minimum Delta EIRP gain is at least max((Ppeak_EIRP-[21]dBm-margin) + 10*log10(Z/20), 3dB), where the margin is 2dB, where</w:t>
            </w:r>
          </w:p>
          <w:p>
            <w:pPr>
              <w:numPr>
                <w:ilvl w:val="1"/>
                <w:numId w:val="4"/>
              </w:numPr>
              <w:rPr>
                <w:sz w:val="20"/>
                <w:szCs w:val="20"/>
              </w:rPr>
            </w:pPr>
            <w:r>
              <w:rPr>
                <w:sz w:val="20"/>
                <w:szCs w:val="20"/>
              </w:rPr>
              <w:t>Ppeak_EIRP is peak EIPR with zero MPR</w:t>
            </w:r>
          </w:p>
          <w:p>
            <w:pPr>
              <w:numPr>
                <w:ilvl w:val="1"/>
                <w:numId w:val="4"/>
              </w:numPr>
              <w:rPr>
                <w:sz w:val="20"/>
                <w:szCs w:val="20"/>
              </w:rPr>
            </w:pPr>
            <w:r>
              <w:rPr>
                <w:sz w:val="20"/>
                <w:szCs w:val="20"/>
              </w:rPr>
              <w:t>Margin is the implementation margin including false alarm and etc</w:t>
            </w:r>
          </w:p>
          <w:p>
            <w:pPr>
              <w:numPr>
                <w:ilvl w:val="1"/>
                <w:numId w:val="4"/>
              </w:numPr>
              <w:rPr>
                <w:sz w:val="20"/>
                <w:szCs w:val="20"/>
              </w:rPr>
            </w:pPr>
            <w:r>
              <w:rPr>
                <w:sz w:val="20"/>
                <w:szCs w:val="20"/>
              </w:rPr>
              <w:t>Z is duty cycle in number of percentage for reference measurement channel, e.g. when UL duty cycle is 10%, Z=10.</w:t>
            </w:r>
          </w:p>
          <w:p>
            <w:pPr>
              <w:tabs>
                <w:tab w:val="left" w:pos="1800"/>
              </w:tabs>
              <w:rPr>
                <w:sz w:val="20"/>
                <w:szCs w:val="20"/>
              </w:rPr>
            </w:pPr>
            <w:r>
              <w:rPr>
                <w:rFonts w:hint="eastAsia"/>
                <w:sz w:val="20"/>
                <w:szCs w:val="20"/>
              </w:rPr>
              <w:t>A</w:t>
            </w:r>
            <w:r>
              <w:rPr>
                <w:sz w:val="20"/>
                <w:szCs w:val="20"/>
              </w:rPr>
              <w:t xml:space="preserve">greement: </w:t>
            </w:r>
          </w:p>
          <w:p>
            <w:pPr>
              <w:numPr>
                <w:ilvl w:val="0"/>
                <w:numId w:val="4"/>
              </w:numPr>
              <w:ind w:left="704" w:leftChars="0" w:hanging="420" w:firstLineChars="0"/>
              <w:rPr>
                <w:sz w:val="20"/>
                <w:szCs w:val="20"/>
              </w:rPr>
            </w:pPr>
            <w:r>
              <w:rPr>
                <w:sz w:val="20"/>
                <w:szCs w:val="20"/>
              </w:rPr>
              <w:t xml:space="preserve">UE will report P-MPRgapon when UL gap is activated </w:t>
            </w:r>
          </w:p>
          <w:p>
            <w:pPr>
              <w:numPr>
                <w:ilvl w:val="2"/>
                <w:numId w:val="4"/>
              </w:numPr>
              <w:ind w:left="1544" w:leftChars="0" w:hanging="420" w:firstLineChars="0"/>
              <w:rPr>
                <w:sz w:val="20"/>
                <w:szCs w:val="20"/>
              </w:rPr>
            </w:pPr>
            <w:r>
              <w:rPr>
                <w:sz w:val="20"/>
                <w:szCs w:val="20"/>
              </w:rPr>
              <w:t>At most UE should report 0~3dB P-MPR in the PHR</w:t>
            </w:r>
          </w:p>
          <w:p>
            <w:pPr>
              <w:numPr>
                <w:ilvl w:val="1"/>
                <w:numId w:val="4"/>
              </w:numPr>
              <w:rPr>
                <w:sz w:val="20"/>
                <w:szCs w:val="20"/>
              </w:rPr>
            </w:pPr>
            <w:r>
              <w:rPr>
                <w:sz w:val="20"/>
                <w:szCs w:val="20"/>
              </w:rPr>
              <w:t xml:space="preserve">UE supports UL gap shall also support R16 MPE reporting at least when UL gap is activated.   </w:t>
            </w:r>
          </w:p>
          <w:p>
            <w:pPr>
              <w:numPr>
                <w:ilvl w:val="1"/>
                <w:numId w:val="4"/>
              </w:numPr>
              <w:rPr>
                <w:sz w:val="20"/>
                <w:szCs w:val="20"/>
              </w:rPr>
            </w:pPr>
            <w:r>
              <w:rPr>
                <w:sz w:val="20"/>
                <w:szCs w:val="20"/>
              </w:rPr>
              <w:t>It is FFS about P-MPRgapoff reporting when UL gap is not activated and the related delta P-MPR, i.e. (P-MPRgapoff -P-MPRgapon).</w:t>
            </w:r>
          </w:p>
          <w:p>
            <w:pPr>
              <w:numPr>
                <w:ilvl w:val="0"/>
                <w:numId w:val="0"/>
              </w:numPr>
              <w:autoSpaceDE w:val="0"/>
              <w:autoSpaceDN w:val="0"/>
              <w:adjustRightInd w:val="0"/>
              <w:spacing w:after="0"/>
              <w:rPr>
                <w:rFonts w:hint="default" w:eastAsia="宋体"/>
                <w:b/>
                <w:bCs/>
                <w:color w:val="auto"/>
                <w:sz w:val="21"/>
                <w:szCs w:val="21"/>
                <w:vertAlign w:val="baseline"/>
                <w:lang w:val="en-US" w:eastAsia="zh-CN"/>
              </w:rPr>
            </w:pPr>
          </w:p>
          <w:bookmarkEnd w:id="1"/>
          <w:p>
            <w:pPr>
              <w:pStyle w:val="1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ind w:leftChars="0"/>
              <w:textAlignment w:val="auto"/>
              <w:rPr>
                <w:rFonts w:hint="eastAsia" w:ascii="Times New Roman" w:hAnsi="Times New Roman" w:eastAsia="宋体" w:cs="Times New Roman"/>
                <w:b/>
                <w:bCs/>
                <w:color w:val="auto"/>
                <w:sz w:val="21"/>
                <w:szCs w:val="21"/>
                <w:vertAlign w:val="baseline"/>
                <w:lang w:val="en-US" w:eastAsia="zh-CN" w:bidi="ar-SA"/>
              </w:rPr>
            </w:pPr>
            <w:r>
              <w:rPr>
                <w:rFonts w:hint="default" w:ascii="Times New Roman" w:hAnsi="Times New Roman" w:eastAsia="宋体" w:cs="Times New Roman"/>
                <w:b/>
                <w:bCs/>
                <w:color w:val="auto"/>
                <w:sz w:val="21"/>
                <w:szCs w:val="21"/>
                <w:vertAlign w:val="baseline"/>
                <w:lang w:val="en-US" w:eastAsia="zh-CN" w:bidi="ar-SA"/>
              </w:rPr>
              <w:t>Tx power management</w:t>
            </w:r>
            <w:r>
              <w:rPr>
                <w:rFonts w:hint="eastAsia" w:ascii="Times New Roman" w:hAnsi="Times New Roman" w:eastAsia="宋体" w:cs="Times New Roman"/>
                <w:b/>
                <w:bCs/>
                <w:color w:val="auto"/>
                <w:sz w:val="21"/>
                <w:szCs w:val="21"/>
                <w:vertAlign w:val="baseline"/>
                <w:lang w:val="en-US" w:eastAsia="zh-CN" w:bidi="ar-SA"/>
              </w:rPr>
              <w:t>:RRM aspect</w:t>
            </w:r>
          </w:p>
          <w:p>
            <w:pPr>
              <w:tabs>
                <w:tab w:val="left" w:pos="1800"/>
              </w:tabs>
              <w:rPr>
                <w:rFonts w:hint="eastAsia"/>
                <w:sz w:val="20"/>
                <w:szCs w:val="20"/>
              </w:rPr>
            </w:pPr>
            <w:r>
              <w:rPr>
                <w:rFonts w:hint="eastAsia"/>
                <w:sz w:val="20"/>
                <w:szCs w:val="20"/>
              </w:rPr>
              <w:t>Agreements:</w:t>
            </w:r>
          </w:p>
          <w:p>
            <w:pPr>
              <w:numPr>
                <w:ilvl w:val="0"/>
                <w:numId w:val="4"/>
              </w:numPr>
              <w:ind w:left="704" w:leftChars="0" w:hanging="420" w:firstLineChars="0"/>
              <w:rPr>
                <w:sz w:val="20"/>
                <w:szCs w:val="20"/>
              </w:rPr>
            </w:pPr>
            <w:r>
              <w:rPr>
                <w:sz w:val="20"/>
                <w:szCs w:val="20"/>
              </w:rPr>
              <w:t>In R17, the following 4 gap configurations are introduced</w:t>
            </w:r>
          </w:p>
          <w:p>
            <w:pPr>
              <w:numPr>
                <w:ilvl w:val="1"/>
                <w:numId w:val="4"/>
              </w:numPr>
              <w:rPr>
                <w:sz w:val="20"/>
                <w:szCs w:val="20"/>
              </w:rPr>
            </w:pPr>
            <w:r>
              <w:rPr>
                <w:sz w:val="20"/>
                <w:szCs w:val="20"/>
              </w:rPr>
              <w:t>The same requirements should be specified for all gap configurations</w:t>
            </w:r>
          </w:p>
          <w:p>
            <w:pPr>
              <w:numPr>
                <w:ilvl w:val="1"/>
                <w:numId w:val="4"/>
              </w:numPr>
              <w:rPr>
                <w:sz w:val="20"/>
                <w:szCs w:val="20"/>
              </w:rPr>
            </w:pPr>
            <w:r>
              <w:rPr>
                <w:sz w:val="20"/>
                <w:szCs w:val="20"/>
              </w:rPr>
              <w:t>UGL indicates the number of consecutive static UL slots configured as UL gap per UGRP</w:t>
            </w:r>
          </w:p>
          <w:p>
            <w:pPr>
              <w:ind w:left="720"/>
              <w:rPr>
                <w:iCs/>
                <w:sz w:val="20"/>
                <w:szCs w:val="20"/>
              </w:rPr>
            </w:pPr>
          </w:p>
          <w:tbl>
            <w:tblPr>
              <w:tblStyle w:val="16"/>
              <w:tblW w:w="48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1"/>
              <w:gridCol w:w="1163"/>
              <w:gridCol w:w="1201"/>
              <w:gridCol w:w="12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1" w:type="dxa"/>
                </w:tcPr>
                <w:p>
                  <w:pPr>
                    <w:widowControl w:val="0"/>
                    <w:autoSpaceDE w:val="0"/>
                    <w:autoSpaceDN w:val="0"/>
                    <w:adjustRightInd w:val="0"/>
                    <w:spacing w:line="360" w:lineRule="auto"/>
                    <w:rPr>
                      <w:sz w:val="20"/>
                      <w:szCs w:val="20"/>
                    </w:rPr>
                  </w:pPr>
                  <w:r>
                    <w:rPr>
                      <w:sz w:val="20"/>
                      <w:szCs w:val="20"/>
                    </w:rPr>
                    <w:t> </w:t>
                  </w:r>
                </w:p>
              </w:tc>
              <w:tc>
                <w:tcPr>
                  <w:tcW w:w="1163" w:type="dxa"/>
                </w:tcPr>
                <w:p>
                  <w:pPr>
                    <w:widowControl w:val="0"/>
                    <w:autoSpaceDE w:val="0"/>
                    <w:autoSpaceDN w:val="0"/>
                    <w:adjustRightInd w:val="0"/>
                    <w:spacing w:line="360" w:lineRule="auto"/>
                    <w:rPr>
                      <w:sz w:val="20"/>
                      <w:szCs w:val="20"/>
                    </w:rPr>
                  </w:pPr>
                  <w:r>
                    <w:rPr>
                      <w:sz w:val="20"/>
                      <w:szCs w:val="20"/>
                    </w:rPr>
                    <w:t>UGL [ms] </w:t>
                  </w:r>
                </w:p>
              </w:tc>
              <w:tc>
                <w:tcPr>
                  <w:tcW w:w="1201" w:type="dxa"/>
                </w:tcPr>
                <w:p>
                  <w:pPr>
                    <w:widowControl w:val="0"/>
                    <w:autoSpaceDE w:val="0"/>
                    <w:autoSpaceDN w:val="0"/>
                    <w:adjustRightInd w:val="0"/>
                    <w:spacing w:line="360" w:lineRule="auto"/>
                    <w:rPr>
                      <w:sz w:val="20"/>
                      <w:szCs w:val="20"/>
                    </w:rPr>
                  </w:pPr>
                  <w:r>
                    <w:rPr>
                      <w:sz w:val="20"/>
                      <w:szCs w:val="20"/>
                    </w:rPr>
                    <w:t>UGRP [ms] </w:t>
                  </w:r>
                </w:p>
              </w:tc>
              <w:tc>
                <w:tcPr>
                  <w:tcW w:w="1267" w:type="dxa"/>
                </w:tcPr>
                <w:p>
                  <w:pPr>
                    <w:widowControl w:val="0"/>
                    <w:autoSpaceDE w:val="0"/>
                    <w:autoSpaceDN w:val="0"/>
                    <w:adjustRightInd w:val="0"/>
                    <w:spacing w:line="360" w:lineRule="auto"/>
                    <w:rPr>
                      <w:color w:val="FF0000"/>
                      <w:sz w:val="20"/>
                      <w:szCs w:val="20"/>
                    </w:rPr>
                  </w:pPr>
                  <w:r>
                    <w:rPr>
                      <w:color w:val="000000" w:themeColor="text1"/>
                      <w:sz w:val="20"/>
                      <w:szCs w:val="20"/>
                      <w14:textFill>
                        <w14:solidFill>
                          <w14:schemeClr w14:val="tx1"/>
                        </w14:solidFill>
                      </w14:textFill>
                    </w:rPr>
                    <w:t>UGL/UGRP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1" w:type="dxa"/>
                </w:tcPr>
                <w:p>
                  <w:pPr>
                    <w:widowControl w:val="0"/>
                    <w:autoSpaceDE w:val="0"/>
                    <w:autoSpaceDN w:val="0"/>
                    <w:adjustRightInd w:val="0"/>
                    <w:spacing w:line="360" w:lineRule="auto"/>
                    <w:rPr>
                      <w:sz w:val="20"/>
                      <w:szCs w:val="20"/>
                    </w:rPr>
                  </w:pPr>
                  <w:r>
                    <w:rPr>
                      <w:sz w:val="20"/>
                      <w:szCs w:val="20"/>
                    </w:rPr>
                    <w:t>ULGP #0 </w:t>
                  </w:r>
                </w:p>
              </w:tc>
              <w:tc>
                <w:tcPr>
                  <w:tcW w:w="1163" w:type="dxa"/>
                </w:tcPr>
                <w:p>
                  <w:pPr>
                    <w:widowControl w:val="0"/>
                    <w:autoSpaceDE w:val="0"/>
                    <w:autoSpaceDN w:val="0"/>
                    <w:adjustRightInd w:val="0"/>
                    <w:spacing w:line="360" w:lineRule="auto"/>
                    <w:rPr>
                      <w:sz w:val="20"/>
                      <w:szCs w:val="20"/>
                    </w:rPr>
                  </w:pPr>
                  <w:r>
                    <w:rPr>
                      <w:sz w:val="20"/>
                      <w:szCs w:val="20"/>
                    </w:rPr>
                    <w:t>1.0 </w:t>
                  </w:r>
                </w:p>
              </w:tc>
              <w:tc>
                <w:tcPr>
                  <w:tcW w:w="1201" w:type="dxa"/>
                </w:tcPr>
                <w:p>
                  <w:pPr>
                    <w:widowControl w:val="0"/>
                    <w:autoSpaceDE w:val="0"/>
                    <w:autoSpaceDN w:val="0"/>
                    <w:adjustRightInd w:val="0"/>
                    <w:spacing w:line="360" w:lineRule="auto"/>
                    <w:rPr>
                      <w:sz w:val="20"/>
                      <w:szCs w:val="20"/>
                    </w:rPr>
                  </w:pPr>
                  <w:r>
                    <w:rPr>
                      <w:sz w:val="20"/>
                      <w:szCs w:val="20"/>
                    </w:rPr>
                    <w:t>20 </w:t>
                  </w:r>
                </w:p>
              </w:tc>
              <w:tc>
                <w:tcPr>
                  <w:tcW w:w="1267" w:type="dxa"/>
                </w:tcPr>
                <w:p>
                  <w:pPr>
                    <w:widowControl w:val="0"/>
                    <w:autoSpaceDE w:val="0"/>
                    <w:autoSpaceDN w:val="0"/>
                    <w:adjustRightInd w:val="0"/>
                    <w:spacing w:line="360" w:lineRule="auto"/>
                    <w:rPr>
                      <w:sz w:val="20"/>
                      <w:szCs w:val="20"/>
                    </w:rPr>
                  </w:pPr>
                  <w:r>
                    <w:rPr>
                      <w:sz w:val="20"/>
                      <w:szCs w:val="20"/>
                    </w:rPr>
                    <w:t>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1" w:type="dxa"/>
                </w:tcPr>
                <w:p>
                  <w:pPr>
                    <w:widowControl w:val="0"/>
                    <w:autoSpaceDE w:val="0"/>
                    <w:autoSpaceDN w:val="0"/>
                    <w:adjustRightInd w:val="0"/>
                    <w:spacing w:line="360" w:lineRule="auto"/>
                    <w:rPr>
                      <w:sz w:val="20"/>
                      <w:szCs w:val="20"/>
                    </w:rPr>
                  </w:pPr>
                  <w:r>
                    <w:rPr>
                      <w:sz w:val="20"/>
                      <w:szCs w:val="20"/>
                    </w:rPr>
                    <w:t>ULGP #1 </w:t>
                  </w:r>
                </w:p>
              </w:tc>
              <w:tc>
                <w:tcPr>
                  <w:tcW w:w="1163" w:type="dxa"/>
                </w:tcPr>
                <w:p>
                  <w:pPr>
                    <w:widowControl w:val="0"/>
                    <w:autoSpaceDE w:val="0"/>
                    <w:autoSpaceDN w:val="0"/>
                    <w:adjustRightInd w:val="0"/>
                    <w:spacing w:line="360" w:lineRule="auto"/>
                    <w:rPr>
                      <w:sz w:val="20"/>
                      <w:szCs w:val="20"/>
                    </w:rPr>
                  </w:pPr>
                  <w:r>
                    <w:rPr>
                      <w:sz w:val="20"/>
                      <w:szCs w:val="20"/>
                    </w:rPr>
                    <w:t>1.0 </w:t>
                  </w:r>
                </w:p>
              </w:tc>
              <w:tc>
                <w:tcPr>
                  <w:tcW w:w="1201" w:type="dxa"/>
                </w:tcPr>
                <w:p>
                  <w:pPr>
                    <w:widowControl w:val="0"/>
                    <w:autoSpaceDE w:val="0"/>
                    <w:autoSpaceDN w:val="0"/>
                    <w:adjustRightInd w:val="0"/>
                    <w:spacing w:line="360" w:lineRule="auto"/>
                    <w:rPr>
                      <w:sz w:val="20"/>
                      <w:szCs w:val="20"/>
                    </w:rPr>
                  </w:pPr>
                  <w:r>
                    <w:rPr>
                      <w:sz w:val="20"/>
                      <w:szCs w:val="20"/>
                    </w:rPr>
                    <w:t>40 </w:t>
                  </w:r>
                </w:p>
              </w:tc>
              <w:tc>
                <w:tcPr>
                  <w:tcW w:w="1267" w:type="dxa"/>
                </w:tcPr>
                <w:p>
                  <w:pPr>
                    <w:widowControl w:val="0"/>
                    <w:autoSpaceDE w:val="0"/>
                    <w:autoSpaceDN w:val="0"/>
                    <w:adjustRightInd w:val="0"/>
                    <w:spacing w:line="360" w:lineRule="auto"/>
                    <w:rPr>
                      <w:sz w:val="20"/>
                      <w:szCs w:val="20"/>
                    </w:rPr>
                  </w:pPr>
                  <w:r>
                    <w:rPr>
                      <w:sz w:val="20"/>
                      <w:szCs w:val="20"/>
                    </w:rPr>
                    <w:t>2.5%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1" w:type="dxa"/>
                </w:tcPr>
                <w:p>
                  <w:pPr>
                    <w:widowControl w:val="0"/>
                    <w:autoSpaceDE w:val="0"/>
                    <w:autoSpaceDN w:val="0"/>
                    <w:adjustRightInd w:val="0"/>
                    <w:spacing w:line="360" w:lineRule="auto"/>
                    <w:rPr>
                      <w:sz w:val="20"/>
                      <w:szCs w:val="20"/>
                    </w:rPr>
                  </w:pPr>
                  <w:r>
                    <w:rPr>
                      <w:sz w:val="20"/>
                      <w:szCs w:val="20"/>
                    </w:rPr>
                    <w:t>ULGP #2 </w:t>
                  </w:r>
                </w:p>
              </w:tc>
              <w:tc>
                <w:tcPr>
                  <w:tcW w:w="1163" w:type="dxa"/>
                </w:tcPr>
                <w:p>
                  <w:pPr>
                    <w:widowControl w:val="0"/>
                    <w:autoSpaceDE w:val="0"/>
                    <w:autoSpaceDN w:val="0"/>
                    <w:adjustRightInd w:val="0"/>
                    <w:spacing w:line="360" w:lineRule="auto"/>
                    <w:rPr>
                      <w:sz w:val="20"/>
                      <w:szCs w:val="20"/>
                    </w:rPr>
                  </w:pPr>
                  <w:r>
                    <w:rPr>
                      <w:sz w:val="20"/>
                      <w:szCs w:val="20"/>
                    </w:rPr>
                    <w:t>0.5 </w:t>
                  </w:r>
                </w:p>
              </w:tc>
              <w:tc>
                <w:tcPr>
                  <w:tcW w:w="1201" w:type="dxa"/>
                </w:tcPr>
                <w:p>
                  <w:pPr>
                    <w:widowControl w:val="0"/>
                    <w:autoSpaceDE w:val="0"/>
                    <w:autoSpaceDN w:val="0"/>
                    <w:adjustRightInd w:val="0"/>
                    <w:spacing w:line="360" w:lineRule="auto"/>
                    <w:rPr>
                      <w:sz w:val="20"/>
                      <w:szCs w:val="20"/>
                    </w:rPr>
                  </w:pPr>
                  <w:r>
                    <w:rPr>
                      <w:sz w:val="20"/>
                      <w:szCs w:val="20"/>
                    </w:rPr>
                    <w:t>160 </w:t>
                  </w:r>
                </w:p>
              </w:tc>
              <w:tc>
                <w:tcPr>
                  <w:tcW w:w="1267" w:type="dxa"/>
                </w:tcPr>
                <w:p>
                  <w:pPr>
                    <w:widowControl w:val="0"/>
                    <w:autoSpaceDE w:val="0"/>
                    <w:autoSpaceDN w:val="0"/>
                    <w:adjustRightInd w:val="0"/>
                    <w:spacing w:line="360" w:lineRule="auto"/>
                    <w:rPr>
                      <w:sz w:val="20"/>
                      <w:szCs w:val="20"/>
                    </w:rPr>
                  </w:pPr>
                  <w:r>
                    <w:rPr>
                      <w:sz w:val="20"/>
                      <w:szCs w:val="20"/>
                    </w:rPr>
                    <w:t>~0.31%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1" w:type="dxa"/>
                </w:tcPr>
                <w:p>
                  <w:pPr>
                    <w:widowControl w:val="0"/>
                    <w:autoSpaceDE w:val="0"/>
                    <w:autoSpaceDN w:val="0"/>
                    <w:adjustRightInd w:val="0"/>
                    <w:spacing w:line="360" w:lineRule="auto"/>
                    <w:rPr>
                      <w:sz w:val="20"/>
                      <w:szCs w:val="20"/>
                    </w:rPr>
                  </w:pPr>
                  <w:r>
                    <w:rPr>
                      <w:sz w:val="20"/>
                      <w:szCs w:val="20"/>
                    </w:rPr>
                    <w:t>ULGP #3</w:t>
                  </w:r>
                </w:p>
              </w:tc>
              <w:tc>
                <w:tcPr>
                  <w:tcW w:w="1163" w:type="dxa"/>
                </w:tcPr>
                <w:p>
                  <w:pPr>
                    <w:widowControl w:val="0"/>
                    <w:autoSpaceDE w:val="0"/>
                    <w:autoSpaceDN w:val="0"/>
                    <w:adjustRightInd w:val="0"/>
                    <w:spacing w:line="360" w:lineRule="auto"/>
                    <w:rPr>
                      <w:sz w:val="20"/>
                      <w:szCs w:val="20"/>
                    </w:rPr>
                  </w:pPr>
                  <w:r>
                    <w:rPr>
                      <w:sz w:val="20"/>
                      <w:szCs w:val="20"/>
                    </w:rPr>
                    <w:t>0.125</w:t>
                  </w:r>
                </w:p>
              </w:tc>
              <w:tc>
                <w:tcPr>
                  <w:tcW w:w="1201" w:type="dxa"/>
                </w:tcPr>
                <w:p>
                  <w:pPr>
                    <w:widowControl w:val="0"/>
                    <w:autoSpaceDE w:val="0"/>
                    <w:autoSpaceDN w:val="0"/>
                    <w:adjustRightInd w:val="0"/>
                    <w:spacing w:line="360" w:lineRule="auto"/>
                    <w:rPr>
                      <w:sz w:val="20"/>
                      <w:szCs w:val="20"/>
                    </w:rPr>
                  </w:pPr>
                  <w:r>
                    <w:rPr>
                      <w:sz w:val="20"/>
                      <w:szCs w:val="20"/>
                    </w:rPr>
                    <w:t>5</w:t>
                  </w:r>
                </w:p>
              </w:tc>
              <w:tc>
                <w:tcPr>
                  <w:tcW w:w="1267" w:type="dxa"/>
                </w:tcPr>
                <w:p>
                  <w:pPr>
                    <w:widowControl w:val="0"/>
                    <w:autoSpaceDE w:val="0"/>
                    <w:autoSpaceDN w:val="0"/>
                    <w:adjustRightInd w:val="0"/>
                    <w:spacing w:line="360" w:lineRule="auto"/>
                    <w:rPr>
                      <w:sz w:val="20"/>
                      <w:szCs w:val="20"/>
                    </w:rPr>
                  </w:pPr>
                  <w:r>
                    <w:rPr>
                      <w:sz w:val="20"/>
                      <w:szCs w:val="20"/>
                    </w:rPr>
                    <w:t>2.5%</w:t>
                  </w:r>
                </w:p>
              </w:tc>
            </w:tr>
          </w:tbl>
          <w:p>
            <w:pPr>
              <w:tabs>
                <w:tab w:val="left" w:pos="1800"/>
              </w:tabs>
              <w:rPr>
                <w:iCs/>
                <w:sz w:val="20"/>
                <w:szCs w:val="20"/>
              </w:rPr>
            </w:pPr>
            <w:r>
              <w:rPr>
                <w:rFonts w:hint="eastAsia"/>
                <w:sz w:val="20"/>
                <w:szCs w:val="20"/>
              </w:rPr>
              <w:t xml:space="preserve"> Agreements:</w:t>
            </w:r>
          </w:p>
          <w:p>
            <w:pPr>
              <w:numPr>
                <w:ilvl w:val="0"/>
                <w:numId w:val="4"/>
              </w:numPr>
              <w:ind w:left="704" w:leftChars="0" w:hanging="420" w:firstLineChars="0"/>
              <w:rPr>
                <w:sz w:val="20"/>
                <w:szCs w:val="20"/>
              </w:rPr>
            </w:pPr>
            <w:r>
              <w:rPr>
                <w:sz w:val="20"/>
                <w:szCs w:val="20"/>
              </w:rPr>
              <w:t>UL gaps are configured by the network using RRC configuration. </w:t>
            </w:r>
          </w:p>
          <w:p>
            <w:pPr>
              <w:numPr>
                <w:ilvl w:val="0"/>
                <w:numId w:val="4"/>
              </w:numPr>
              <w:ind w:left="704" w:leftChars="0" w:hanging="420" w:firstLineChars="0"/>
              <w:rPr>
                <w:sz w:val="20"/>
                <w:szCs w:val="20"/>
              </w:rPr>
            </w:pPr>
            <w:r>
              <w:rPr>
                <w:sz w:val="20"/>
                <w:szCs w:val="20"/>
              </w:rPr>
              <w:t>UL gaps are deconfigured by the network using RRC configuration. </w:t>
            </w:r>
          </w:p>
          <w:p>
            <w:pPr>
              <w:numPr>
                <w:ilvl w:val="0"/>
                <w:numId w:val="4"/>
              </w:numPr>
              <w:ind w:left="704" w:leftChars="0" w:hanging="420" w:firstLineChars="0"/>
              <w:rPr>
                <w:sz w:val="20"/>
                <w:szCs w:val="20"/>
              </w:rPr>
            </w:pPr>
            <w:r>
              <w:rPr>
                <w:sz w:val="20"/>
                <w:szCs w:val="20"/>
              </w:rPr>
              <w:t>Related to activation and deactivation of UL gaps: </w:t>
            </w:r>
          </w:p>
          <w:p>
            <w:pPr>
              <w:numPr>
                <w:ilvl w:val="1"/>
                <w:numId w:val="4"/>
              </w:numPr>
              <w:ind w:left="1124" w:leftChars="0" w:hanging="420" w:firstLineChars="0"/>
              <w:rPr>
                <w:sz w:val="20"/>
                <w:szCs w:val="20"/>
              </w:rPr>
            </w:pPr>
            <w:r>
              <w:rPr>
                <w:sz w:val="20"/>
                <w:szCs w:val="20"/>
              </w:rPr>
              <w:t>The UL gaps can be activated when configured (using RRC signalling</w:t>
            </w:r>
            <w:r>
              <w:rPr>
                <w:rFonts w:hint="eastAsia"/>
                <w:sz w:val="20"/>
                <w:szCs w:val="20"/>
              </w:rPr>
              <w:t>). </w:t>
            </w:r>
          </w:p>
          <w:p>
            <w:pPr>
              <w:numPr>
                <w:ilvl w:val="1"/>
                <w:numId w:val="4"/>
              </w:numPr>
              <w:ind w:left="1124" w:leftChars="0" w:hanging="420" w:firstLineChars="0"/>
              <w:rPr>
                <w:sz w:val="20"/>
                <w:szCs w:val="20"/>
              </w:rPr>
            </w:pPr>
            <w:r>
              <w:rPr>
                <w:sz w:val="20"/>
                <w:szCs w:val="20"/>
              </w:rPr>
              <w:t>FFS: The UL gaps can additionally and optionally be activated and deactivated using MAC command after UL gap is configured by RRC Signaling</w:t>
            </w:r>
          </w:p>
          <w:p>
            <w:pPr>
              <w:numPr>
                <w:ilvl w:val="1"/>
                <w:numId w:val="4"/>
              </w:numPr>
              <w:ind w:left="1124" w:leftChars="0" w:hanging="420" w:firstLineChars="0"/>
              <w:rPr>
                <w:sz w:val="20"/>
                <w:szCs w:val="20"/>
              </w:rPr>
            </w:pPr>
            <w:r>
              <w:rPr>
                <w:sz w:val="20"/>
                <w:szCs w:val="20"/>
              </w:rPr>
              <w:t>The UL gaps are</w:t>
            </w:r>
            <w:r>
              <w:rPr>
                <w:rFonts w:hint="eastAsia"/>
                <w:sz w:val="20"/>
                <w:szCs w:val="20"/>
              </w:rPr>
              <w:t> </w:t>
            </w:r>
            <w:r>
              <w:rPr>
                <w:sz w:val="20"/>
                <w:szCs w:val="20"/>
              </w:rPr>
              <w:t>deactivated when deconfigured</w:t>
            </w:r>
            <w:r>
              <w:rPr>
                <w:rFonts w:hint="eastAsia"/>
                <w:sz w:val="20"/>
                <w:szCs w:val="20"/>
              </w:rPr>
              <w:t> </w:t>
            </w:r>
            <w:r>
              <w:rPr>
                <w:sz w:val="20"/>
                <w:szCs w:val="20"/>
              </w:rPr>
              <w:t>(using RRC signalling</w:t>
            </w:r>
            <w:r>
              <w:rPr>
                <w:rFonts w:hint="eastAsia"/>
                <w:sz w:val="20"/>
                <w:szCs w:val="20"/>
              </w:rPr>
              <w:t>). </w:t>
            </w:r>
          </w:p>
          <w:p>
            <w:pPr>
              <w:tabs>
                <w:tab w:val="left" w:pos="1800"/>
              </w:tabs>
              <w:rPr>
                <w:iCs/>
                <w:color w:val="000000" w:themeColor="text1"/>
                <w:sz w:val="20"/>
                <w:szCs w:val="20"/>
                <w14:textFill>
                  <w14:solidFill>
                    <w14:schemeClr w14:val="tx1"/>
                  </w14:solidFill>
                </w14:textFill>
              </w:rPr>
            </w:pPr>
            <w:r>
              <w:rPr>
                <w:rFonts w:hint="eastAsia"/>
                <w:sz w:val="20"/>
                <w:szCs w:val="20"/>
              </w:rPr>
              <w:t>Agreements:</w:t>
            </w:r>
          </w:p>
          <w:p>
            <w:pPr>
              <w:numPr>
                <w:ilvl w:val="0"/>
                <w:numId w:val="4"/>
              </w:numPr>
              <w:ind w:left="704" w:leftChars="0" w:hanging="420" w:firstLineChars="0"/>
              <w:rPr>
                <w:sz w:val="20"/>
                <w:szCs w:val="20"/>
              </w:rPr>
            </w:pPr>
            <w:r>
              <w:rPr>
                <w:sz w:val="20"/>
                <w:szCs w:val="20"/>
              </w:rPr>
              <w:t xml:space="preserve">With the agreement that UE can explicitly indicate to NW on “need for UL gap” and “no need for UL gap”, RAN4 will leave the detailed signaling design to RAN2 </w:t>
            </w:r>
          </w:p>
          <w:p>
            <w:pPr>
              <w:tabs>
                <w:tab w:val="left" w:pos="1800"/>
              </w:tabs>
              <w:rPr>
                <w:rFonts w:hint="eastAsia"/>
                <w:sz w:val="20"/>
                <w:szCs w:val="20"/>
              </w:rPr>
            </w:pPr>
            <w:r>
              <w:rPr>
                <w:rFonts w:hint="eastAsia"/>
                <w:sz w:val="20"/>
                <w:szCs w:val="20"/>
              </w:rPr>
              <w:t>Agreements:</w:t>
            </w:r>
          </w:p>
          <w:p>
            <w:pPr>
              <w:numPr>
                <w:ilvl w:val="0"/>
                <w:numId w:val="4"/>
              </w:numPr>
              <w:ind w:left="704" w:leftChars="0" w:hanging="420" w:firstLineChars="0"/>
              <w:rPr>
                <w:sz w:val="20"/>
                <w:szCs w:val="20"/>
              </w:rPr>
            </w:pPr>
            <w:r>
              <w:rPr>
                <w:sz w:val="20"/>
                <w:szCs w:val="20"/>
              </w:rPr>
              <w:t xml:space="preserve">Once the UL gap is configured, and activated, the UE will perform BPS sensing only in the static UL slot, i.e. no DL slot or special slot will be used as UL gap. For example, in case of ULGP#1, DDDSU configuration with 120KHz SCS, the following figure depicts the available slots for UL gap. </w:t>
            </w:r>
          </w:p>
          <w:p>
            <w:pPr>
              <w:pStyle w:val="26"/>
              <w:overflowPunct w:val="0"/>
              <w:spacing w:after="180"/>
              <w:ind w:left="0" w:leftChars="0" w:firstLine="0" w:firstLineChars="0"/>
              <w:contextualSpacing w:val="0"/>
              <w:textAlignment w:val="baseline"/>
              <w:rPr>
                <w:iCs/>
                <w:sz w:val="20"/>
                <w:szCs w:val="20"/>
              </w:rPr>
            </w:pPr>
            <w:r>
              <w:rPr>
                <w:iCs/>
              </w:rPr>
              <w:drawing>
                <wp:inline distT="0" distB="0" distL="0" distR="0">
                  <wp:extent cx="6120765" cy="837565"/>
                  <wp:effectExtent l="0" t="0" r="5715"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5"/>
                          <a:stretch>
                            <a:fillRect/>
                          </a:stretch>
                        </pic:blipFill>
                        <pic:spPr>
                          <a:xfrm>
                            <a:off x="0" y="0"/>
                            <a:ext cx="6120765" cy="838026"/>
                          </a:xfrm>
                          <a:prstGeom prst="rect">
                            <a:avLst/>
                          </a:prstGeom>
                        </pic:spPr>
                      </pic:pic>
                    </a:graphicData>
                  </a:graphic>
                </wp:inline>
              </w:drawing>
            </w:r>
          </w:p>
          <w:p>
            <w:pPr>
              <w:numPr>
                <w:ilvl w:val="0"/>
                <w:numId w:val="4"/>
              </w:numPr>
              <w:ind w:left="704" w:leftChars="0" w:hanging="420" w:firstLineChars="0"/>
              <w:rPr>
                <w:sz w:val="20"/>
                <w:szCs w:val="20"/>
              </w:rPr>
            </w:pPr>
            <w:r>
              <w:rPr>
                <w:sz w:val="20"/>
                <w:szCs w:val="20"/>
              </w:rPr>
              <w:t xml:space="preserve">UE is not expected to be scheduled with UL transmission during the gap. Details FFS, e.g., RACH </w:t>
            </w:r>
          </w:p>
          <w:p>
            <w:pPr>
              <w:tabs>
                <w:tab w:val="left" w:pos="1800"/>
              </w:tabs>
              <w:rPr>
                <w:rFonts w:hint="eastAsia"/>
                <w:sz w:val="20"/>
                <w:szCs w:val="20"/>
              </w:rPr>
            </w:pPr>
            <w:r>
              <w:rPr>
                <w:rFonts w:hint="eastAsia"/>
                <w:sz w:val="20"/>
                <w:szCs w:val="20"/>
              </w:rPr>
              <w:t>Agreements:</w:t>
            </w:r>
          </w:p>
          <w:p>
            <w:pPr>
              <w:numPr>
                <w:ilvl w:val="0"/>
                <w:numId w:val="4"/>
              </w:numPr>
              <w:ind w:left="704" w:leftChars="0" w:hanging="420" w:firstLineChars="0"/>
              <w:rPr>
                <w:sz w:val="20"/>
                <w:szCs w:val="20"/>
              </w:rPr>
            </w:pPr>
            <w:r>
              <w:rPr>
                <w:sz w:val="20"/>
                <w:szCs w:val="20"/>
              </w:rPr>
              <w:t xml:space="preserve">No interruption across FR. FR2 UL gap does not cause FR1 interruption. </w:t>
            </w:r>
          </w:p>
          <w:p>
            <w:pPr>
              <w:tabs>
                <w:tab w:val="left" w:pos="1800"/>
              </w:tabs>
              <w:rPr>
                <w:rFonts w:hint="eastAsia"/>
                <w:sz w:val="20"/>
                <w:szCs w:val="20"/>
              </w:rPr>
            </w:pPr>
            <w:r>
              <w:rPr>
                <w:rFonts w:hint="eastAsia"/>
                <w:sz w:val="20"/>
                <w:szCs w:val="20"/>
              </w:rPr>
              <w:t>Agreements:</w:t>
            </w:r>
          </w:p>
          <w:p>
            <w:pPr>
              <w:numPr>
                <w:ilvl w:val="0"/>
                <w:numId w:val="4"/>
              </w:numPr>
              <w:ind w:left="704" w:leftChars="0" w:hanging="420" w:firstLineChars="0"/>
              <w:rPr>
                <w:sz w:val="20"/>
                <w:szCs w:val="20"/>
              </w:rPr>
            </w:pPr>
            <w:r>
              <w:rPr>
                <w:sz w:val="20"/>
                <w:szCs w:val="20"/>
              </w:rPr>
              <w:t xml:space="preserve">UL gap slot is static UL slot. UL gap slot applies same TA as other UL slots.  </w:t>
            </w:r>
          </w:p>
          <w:p>
            <w:pPr>
              <w:tabs>
                <w:tab w:val="left" w:pos="1800"/>
              </w:tabs>
              <w:rPr>
                <w:rFonts w:hint="eastAsia"/>
                <w:sz w:val="20"/>
                <w:szCs w:val="20"/>
              </w:rPr>
            </w:pPr>
            <w:r>
              <w:rPr>
                <w:rFonts w:hint="eastAsia"/>
                <w:sz w:val="20"/>
                <w:szCs w:val="20"/>
              </w:rPr>
              <w:t>Agreements:</w:t>
            </w:r>
          </w:p>
          <w:p>
            <w:pPr>
              <w:numPr>
                <w:ilvl w:val="0"/>
                <w:numId w:val="4"/>
              </w:numPr>
              <w:ind w:left="704" w:leftChars="0" w:hanging="420" w:firstLineChars="0"/>
              <w:rPr>
                <w:sz w:val="20"/>
                <w:szCs w:val="20"/>
              </w:rPr>
            </w:pPr>
            <w:r>
              <w:rPr>
                <w:sz w:val="20"/>
                <w:szCs w:val="20"/>
              </w:rPr>
              <w:t xml:space="preserve">No conflict b/w TDD config and UL gap. UL gap is always configured in static UL slot </w:t>
            </w:r>
          </w:p>
          <w:p>
            <w:pPr>
              <w:tabs>
                <w:tab w:val="left" w:pos="1800"/>
              </w:tabs>
              <w:rPr>
                <w:rFonts w:hint="eastAsia"/>
                <w:sz w:val="20"/>
                <w:szCs w:val="20"/>
              </w:rPr>
            </w:pPr>
            <w:r>
              <w:rPr>
                <w:rFonts w:hint="eastAsia"/>
                <w:sz w:val="20"/>
                <w:szCs w:val="20"/>
              </w:rPr>
              <w:t>Agreements:</w:t>
            </w:r>
          </w:p>
          <w:p>
            <w:pPr>
              <w:numPr>
                <w:ilvl w:val="0"/>
                <w:numId w:val="4"/>
              </w:numPr>
              <w:ind w:left="704" w:leftChars="0" w:hanging="420" w:firstLineChars="0"/>
              <w:rPr>
                <w:rFonts w:hint="default" w:ascii="Times New Roman" w:hAnsi="Times New Roman" w:cs="Times New Roman"/>
                <w:sz w:val="20"/>
                <w:szCs w:val="20"/>
                <w:lang w:val="en-US" w:eastAsia="zh-CN"/>
              </w:rPr>
            </w:pPr>
            <w:r>
              <w:rPr>
                <w:rFonts w:ascii="Times New Roman" w:hAnsi="Times New Roman" w:eastAsia="Times New Roman" w:cs="Times New Roman"/>
                <w:kern w:val="0"/>
                <w:sz w:val="20"/>
                <w:szCs w:val="20"/>
                <w:lang w:val="en-US" w:eastAsia="en-US" w:bidi="ar-SA"/>
              </w:rPr>
              <w:t xml:space="preserve">FFS the impact on measurement gap configuration and requirement due to UL gap.    </w:t>
            </w:r>
          </w:p>
        </w:tc>
      </w:tr>
    </w:tbl>
    <w:p>
      <w:pPr>
        <w:pStyle w:val="3"/>
        <w:rPr>
          <w:rFonts w:hint="eastAsia" w:eastAsia="宋体"/>
          <w:color w:val="auto"/>
          <w:sz w:val="21"/>
          <w:szCs w:val="21"/>
          <w:highlight w:val="none"/>
          <w:lang w:val="en-US" w:eastAsia="zh-CN"/>
        </w:rPr>
      </w:pPr>
      <w:r>
        <w:rPr>
          <w:rFonts w:hint="eastAsia" w:eastAsia="宋体"/>
          <w:color w:val="auto"/>
          <w:sz w:val="21"/>
          <w:szCs w:val="21"/>
          <w:highlight w:val="none"/>
          <w:lang w:val="en-US" w:eastAsia="zh-CN"/>
        </w:rPr>
        <w:t xml:space="preserve">According to the conclusions achieved during 101 e-meeting, for the Tx power management use case, the detailed performance metric and the corresponding threshold have been identified. But for the test methodology, without any progress. For the application of UL gap for Tx power management, the conformance test should also be clarified. In this document, we give some further discussion on the remaining open issues. </w:t>
      </w:r>
    </w:p>
    <w:p>
      <w:pPr>
        <w:pStyle w:val="3"/>
        <w:numPr>
          <w:ilvl w:val="0"/>
          <w:numId w:val="5"/>
        </w:numPr>
        <w:tabs>
          <w:tab w:val="left" w:pos="226"/>
          <w:tab w:val="left" w:pos="284"/>
          <w:tab w:val="left" w:pos="5103"/>
        </w:tabs>
        <w:snapToGrid w:val="0"/>
        <w:spacing w:before="156" w:beforeLines="50"/>
        <w:ind w:left="420" w:leftChars="0" w:hanging="420" w:firstLineChars="0"/>
        <w:rPr>
          <w:rFonts w:hint="default" w:eastAsia="宋体"/>
          <w:color w:val="auto"/>
          <w:sz w:val="21"/>
          <w:szCs w:val="21"/>
          <w:lang w:val="en-US" w:eastAsia="zh-CN"/>
        </w:rPr>
      </w:pPr>
      <w:r>
        <w:rPr>
          <w:rFonts w:hint="eastAsia" w:eastAsia="宋体"/>
          <w:color w:val="auto"/>
          <w:sz w:val="21"/>
          <w:szCs w:val="21"/>
          <w:lang w:val="en-US" w:eastAsia="zh-CN"/>
        </w:rPr>
        <w:t>Other additional requirements to be tested</w:t>
      </w:r>
    </w:p>
    <w:p>
      <w:pPr>
        <w:pStyle w:val="3"/>
        <w:numPr>
          <w:ilvl w:val="0"/>
          <w:numId w:val="5"/>
        </w:numPr>
        <w:tabs>
          <w:tab w:val="left" w:pos="226"/>
          <w:tab w:val="left" w:pos="284"/>
          <w:tab w:val="left" w:pos="5103"/>
        </w:tabs>
        <w:snapToGrid w:val="0"/>
        <w:spacing w:before="156" w:beforeLines="50"/>
        <w:ind w:left="420" w:leftChars="0" w:hanging="420" w:firstLineChars="0"/>
        <w:rPr>
          <w:rFonts w:hint="default" w:eastAsia="宋体"/>
          <w:color w:val="auto"/>
          <w:sz w:val="21"/>
          <w:szCs w:val="21"/>
          <w:lang w:val="en-US" w:eastAsia="zh-CN"/>
        </w:rPr>
      </w:pPr>
      <w:r>
        <w:rPr>
          <w:rFonts w:hint="eastAsia" w:eastAsia="宋体"/>
          <w:color w:val="auto"/>
          <w:sz w:val="21"/>
          <w:szCs w:val="21"/>
          <w:lang w:val="en-US" w:eastAsia="zh-CN"/>
        </w:rPr>
        <w:t>Test methodology</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4"/>
        <w:bidi w:val="0"/>
        <w:rPr>
          <w:rFonts w:hint="eastAsia" w:ascii="Helvetica" w:hAnsi="Helvetica" w:eastAsia="宋体" w:cs="Times New Roman"/>
          <w:b/>
          <w:bCs/>
          <w:iCs w:val="0"/>
          <w:color w:val="auto"/>
          <w:kern w:val="32"/>
          <w:sz w:val="28"/>
          <w:szCs w:val="32"/>
          <w:lang w:val="en-US" w:eastAsia="zh-CN" w:bidi="ar-SA"/>
        </w:rPr>
      </w:pPr>
      <w:r>
        <w:rPr>
          <w:rFonts w:hint="eastAsia" w:ascii="Helvetica" w:hAnsi="Helvetica" w:eastAsia="宋体" w:cs="Times New Roman"/>
          <w:b/>
          <w:bCs/>
          <w:iCs w:val="0"/>
          <w:color w:val="auto"/>
          <w:kern w:val="32"/>
          <w:sz w:val="28"/>
          <w:szCs w:val="32"/>
          <w:lang w:val="en-US" w:eastAsia="zh-CN" w:bidi="ar-SA"/>
        </w:rPr>
        <w:t>2.1 Other additional requirements to be tested</w:t>
      </w:r>
    </w:p>
    <w:p>
      <w:pPr>
        <w:pStyle w:val="3"/>
        <w:rPr>
          <w:rFonts w:hint="default" w:eastAsia="宋体"/>
          <w:color w:val="auto"/>
          <w:sz w:val="21"/>
          <w:szCs w:val="21"/>
          <w:highlight w:val="none"/>
          <w:lang w:val="en-US" w:eastAsia="zh-CN"/>
        </w:rPr>
      </w:pPr>
      <w:r>
        <w:rPr>
          <w:rFonts w:hint="eastAsia" w:eastAsia="宋体"/>
          <w:color w:val="auto"/>
          <w:sz w:val="21"/>
          <w:szCs w:val="21"/>
          <w:highlight w:val="none"/>
          <w:lang w:val="en-US" w:eastAsia="zh-CN"/>
        </w:rPr>
        <w:t xml:space="preserve">It was agreed that for Tx power management use case, only type 1 gap is considered(all UE RF requirements will apply). For type 1 gap, NW can assign those resources within UL gap to other UEs for UL transmission, so the existing RF requirements should not be broken, such as transmit off power. For BPS with help of UL gap operation, the target UE still need to emit the radar signal to detect the body, in order to avoid interference to other UE scheduled UL transmission during the UL gap, the transmit off power requirement should be ensured. </w:t>
      </w:r>
    </w:p>
    <w:p>
      <w:pPr>
        <w:pStyle w:val="3"/>
        <w:rPr>
          <w:rFonts w:hint="eastAsia" w:eastAsia="宋体" w:cs="Times New Roman"/>
          <w:b/>
          <w:bCs/>
          <w:color w:val="auto"/>
          <w:sz w:val="21"/>
          <w:szCs w:val="21"/>
          <w:highlight w:val="none"/>
          <w:lang w:val="en-US" w:eastAsia="zh-CN" w:bidi="ar-SA"/>
        </w:rPr>
      </w:pPr>
      <w:r>
        <w:rPr>
          <w:rFonts w:hint="eastAsia" w:eastAsia="宋体"/>
          <w:b/>
          <w:bCs/>
          <w:color w:val="auto"/>
          <w:sz w:val="21"/>
          <w:szCs w:val="21"/>
          <w:highlight w:val="none"/>
          <w:lang w:val="en-US" w:eastAsia="zh-CN"/>
        </w:rPr>
        <w:t>Proposal</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1</w:t>
      </w:r>
      <w:r>
        <w:rPr>
          <w:rFonts w:hint="eastAsia" w:ascii="Times New Roman" w:hAnsi="Times New Roman" w:eastAsia="宋体" w:cs="Times New Roman"/>
          <w:b/>
          <w:bCs/>
          <w:color w:val="auto"/>
          <w:sz w:val="21"/>
          <w:szCs w:val="21"/>
          <w:highlight w:val="none"/>
          <w:lang w:val="en-US" w:eastAsia="zh-CN" w:bidi="ar-SA"/>
        </w:rPr>
        <w:t>:</w:t>
      </w:r>
      <w:r>
        <w:rPr>
          <w:rFonts w:hint="eastAsia" w:eastAsia="宋体" w:cs="Times New Roman"/>
          <w:b/>
          <w:bCs/>
          <w:color w:val="auto"/>
          <w:sz w:val="21"/>
          <w:szCs w:val="21"/>
          <w:highlight w:val="none"/>
          <w:lang w:val="en-US" w:eastAsia="zh-CN" w:bidi="ar-SA"/>
        </w:rPr>
        <w:t xml:space="preserve"> UE should also meet the existing transmit off power requirement during the BPS UL gap to avoid causing interference.</w:t>
      </w:r>
    </w:p>
    <w:p>
      <w:pPr>
        <w:pStyle w:val="4"/>
        <w:bidi w:val="0"/>
        <w:rPr>
          <w:rFonts w:hint="eastAsia" w:ascii="Helvetica" w:hAnsi="Helvetica" w:eastAsia="宋体" w:cs="Times New Roman"/>
          <w:b/>
          <w:bCs/>
          <w:iCs w:val="0"/>
          <w:color w:val="auto"/>
          <w:kern w:val="32"/>
          <w:sz w:val="28"/>
          <w:szCs w:val="32"/>
          <w:lang w:val="en-US" w:eastAsia="zh-CN" w:bidi="ar-SA"/>
        </w:rPr>
      </w:pPr>
      <w:r>
        <w:rPr>
          <w:rFonts w:hint="eastAsia" w:ascii="Helvetica" w:hAnsi="Helvetica" w:eastAsia="宋体" w:cs="Times New Roman"/>
          <w:b/>
          <w:bCs/>
          <w:iCs w:val="0"/>
          <w:color w:val="auto"/>
          <w:kern w:val="32"/>
          <w:sz w:val="28"/>
          <w:szCs w:val="32"/>
          <w:lang w:val="en-US" w:eastAsia="zh-CN" w:bidi="ar-SA"/>
        </w:rPr>
        <w:t>2.</w:t>
      </w:r>
      <w:r>
        <w:rPr>
          <w:rFonts w:hint="eastAsia" w:eastAsia="宋体" w:cs="Times New Roman"/>
          <w:b/>
          <w:bCs/>
          <w:iCs w:val="0"/>
          <w:color w:val="auto"/>
          <w:kern w:val="32"/>
          <w:sz w:val="28"/>
          <w:szCs w:val="32"/>
          <w:lang w:val="en-US" w:eastAsia="zh-CN" w:bidi="ar-SA"/>
        </w:rPr>
        <w:t>2</w:t>
      </w:r>
      <w:r>
        <w:rPr>
          <w:rFonts w:hint="eastAsia" w:ascii="Helvetica" w:hAnsi="Helvetica" w:eastAsia="宋体" w:cs="Times New Roman"/>
          <w:b/>
          <w:bCs/>
          <w:iCs w:val="0"/>
          <w:color w:val="auto"/>
          <w:kern w:val="32"/>
          <w:sz w:val="28"/>
          <w:szCs w:val="32"/>
          <w:lang w:val="en-US" w:eastAsia="zh-CN" w:bidi="ar-SA"/>
        </w:rPr>
        <w:t xml:space="preserve"> Test methodology</w:t>
      </w:r>
    </w:p>
    <w:p>
      <w:pPr>
        <w:pStyle w:val="3"/>
        <w:rPr>
          <w:rFonts w:hint="default" w:eastAsia="宋体"/>
          <w:color w:val="auto"/>
          <w:sz w:val="21"/>
          <w:szCs w:val="21"/>
          <w:highlight w:val="none"/>
          <w:lang w:val="en-US" w:eastAsia="zh-CN"/>
        </w:rPr>
      </w:pPr>
      <w:r>
        <w:rPr>
          <w:rFonts w:hint="eastAsia" w:eastAsia="宋体"/>
          <w:color w:val="auto"/>
          <w:sz w:val="21"/>
          <w:szCs w:val="21"/>
          <w:highlight w:val="none"/>
          <w:lang w:val="en-US" w:eastAsia="zh-CN"/>
        </w:rPr>
        <w:t>The UL gap for Tx power management is derived from MPE issue, which means that UE can use UL gap to reduce power reduction (P-MPR) through more accurate BPS. In fact, there are various method to archive the same purpose, like radar, thermal sensor, etc., but not all of these methods require UL gap to perform calibration. What we should verify is the gain brought by the introduction of UL gap itself, and the influence of other calibration method without UL gap need to be precluded. We believe this is a basic principle for the design of test setup.</w:t>
      </w:r>
    </w:p>
    <w:p>
      <w:pPr>
        <w:pStyle w:val="3"/>
        <w:rPr>
          <w:rFonts w:hint="eastAsia" w:eastAsia="宋体"/>
          <w:color w:val="auto"/>
          <w:sz w:val="21"/>
          <w:szCs w:val="21"/>
          <w:highlight w:val="none"/>
          <w:lang w:val="en-US" w:eastAsia="zh-CN"/>
        </w:rPr>
      </w:pPr>
      <w:r>
        <w:rPr>
          <w:rFonts w:hint="eastAsia" w:eastAsia="宋体"/>
          <w:color w:val="auto"/>
          <w:sz w:val="21"/>
          <w:szCs w:val="21"/>
          <w:highlight w:val="none"/>
          <w:lang w:val="en-US" w:eastAsia="zh-CN"/>
        </w:rPr>
        <w:t>It has been agreed that not introducing phantom in the test in last meeting, based on the UE category given by [2], four types of UE are listed as follows:</w:t>
      </w:r>
    </w:p>
    <w:tbl>
      <w:tblPr>
        <w:tblStyle w:val="15"/>
        <w:tblW w:w="97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7"/>
        <w:gridCol w:w="1701"/>
        <w:gridCol w:w="1648"/>
        <w:gridCol w:w="48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1567" w:type="dxa"/>
            <w:vMerge w:val="restart"/>
            <w:shd w:val="clear" w:color="auto" w:fill="FFF2CC"/>
            <w:vAlign w:val="center"/>
          </w:tcPr>
          <w:p>
            <w:pPr>
              <w:spacing w:before="120"/>
              <w:jc w:val="center"/>
              <w:rPr>
                <w:rFonts w:eastAsia="Yu Mincho"/>
                <w:b/>
                <w:bCs/>
                <w:lang w:eastAsia="ja-JP"/>
              </w:rPr>
            </w:pPr>
            <w:r>
              <w:rPr>
                <w:rFonts w:hint="eastAsia" w:eastAsia="Yu Mincho"/>
                <w:b/>
                <w:bCs/>
                <w:lang w:eastAsia="ja-JP"/>
              </w:rPr>
              <w:t>T</w:t>
            </w:r>
            <w:r>
              <w:rPr>
                <w:rFonts w:eastAsia="Yu Mincho"/>
                <w:b/>
                <w:bCs/>
                <w:lang w:eastAsia="ja-JP"/>
              </w:rPr>
              <w:t>ype of UE</w:t>
            </w:r>
          </w:p>
        </w:tc>
        <w:tc>
          <w:tcPr>
            <w:tcW w:w="3349" w:type="dxa"/>
            <w:gridSpan w:val="2"/>
            <w:shd w:val="clear" w:color="auto" w:fill="FFF2CC"/>
            <w:vAlign w:val="center"/>
          </w:tcPr>
          <w:p>
            <w:pPr>
              <w:spacing w:before="120"/>
              <w:jc w:val="center"/>
              <w:rPr>
                <w:rFonts w:eastAsia="Yu Mincho"/>
                <w:b/>
                <w:bCs/>
                <w:lang w:eastAsia="ja-JP"/>
              </w:rPr>
            </w:pPr>
            <w:r>
              <w:rPr>
                <w:rFonts w:hint="eastAsia" w:eastAsia="Yu Mincho"/>
                <w:b/>
                <w:bCs/>
                <w:lang w:eastAsia="ja-JP"/>
              </w:rPr>
              <w:t>P</w:t>
            </w:r>
            <w:r>
              <w:rPr>
                <w:rFonts w:eastAsia="Yu Mincho"/>
                <w:b/>
                <w:bCs/>
                <w:lang w:eastAsia="ja-JP"/>
              </w:rPr>
              <w:t>-MPR value when human targets are not close to Tx antenna</w:t>
            </w:r>
          </w:p>
        </w:tc>
        <w:tc>
          <w:tcPr>
            <w:tcW w:w="4881" w:type="dxa"/>
            <w:vMerge w:val="restart"/>
            <w:shd w:val="clear" w:color="auto" w:fill="FFF2CC"/>
            <w:vAlign w:val="center"/>
          </w:tcPr>
          <w:p>
            <w:pPr>
              <w:spacing w:before="120"/>
              <w:jc w:val="center"/>
              <w:rPr>
                <w:rFonts w:eastAsia="Yu Mincho"/>
                <w:b/>
                <w:bCs/>
                <w:lang w:eastAsia="ja-JP"/>
              </w:rPr>
            </w:pPr>
            <w:r>
              <w:rPr>
                <w:rFonts w:hint="eastAsia" w:eastAsia="Yu Mincho"/>
                <w:b/>
                <w:bCs/>
                <w:lang w:eastAsia="ja-JP"/>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7" w:type="dxa"/>
            <w:vMerge w:val="continue"/>
            <w:shd w:val="clear" w:color="auto" w:fill="FFF2CC"/>
          </w:tcPr>
          <w:p>
            <w:pPr>
              <w:spacing w:before="120"/>
              <w:jc w:val="center"/>
              <w:rPr>
                <w:rFonts w:eastAsia="Yu Mincho"/>
                <w:b/>
                <w:bCs/>
                <w:lang w:eastAsia="ja-JP"/>
              </w:rPr>
            </w:pPr>
          </w:p>
        </w:tc>
        <w:tc>
          <w:tcPr>
            <w:tcW w:w="1701" w:type="dxa"/>
            <w:shd w:val="clear" w:color="auto" w:fill="FFF2CC"/>
          </w:tcPr>
          <w:p>
            <w:pPr>
              <w:spacing w:before="120"/>
              <w:jc w:val="center"/>
              <w:rPr>
                <w:rFonts w:eastAsia="Yu Mincho"/>
                <w:b/>
                <w:bCs/>
                <w:lang w:eastAsia="ja-JP"/>
              </w:rPr>
            </w:pPr>
            <w:r>
              <w:rPr>
                <w:rFonts w:eastAsia="Yu Mincho"/>
                <w:b/>
                <w:bCs/>
                <w:lang w:eastAsia="ja-JP"/>
              </w:rPr>
              <w:t>Without UL gap</w:t>
            </w:r>
          </w:p>
        </w:tc>
        <w:tc>
          <w:tcPr>
            <w:tcW w:w="1648" w:type="dxa"/>
            <w:shd w:val="clear" w:color="auto" w:fill="FFF2CC"/>
          </w:tcPr>
          <w:p>
            <w:pPr>
              <w:spacing w:before="120"/>
              <w:jc w:val="center"/>
              <w:rPr>
                <w:rFonts w:eastAsia="Yu Mincho"/>
                <w:b/>
                <w:bCs/>
                <w:lang w:eastAsia="ja-JP"/>
              </w:rPr>
            </w:pPr>
            <w:r>
              <w:rPr>
                <w:rFonts w:hint="eastAsia" w:eastAsia="Yu Mincho"/>
                <w:b/>
                <w:bCs/>
                <w:lang w:eastAsia="ja-JP"/>
              </w:rPr>
              <w:t>W</w:t>
            </w:r>
            <w:r>
              <w:rPr>
                <w:rFonts w:eastAsia="Yu Mincho"/>
                <w:b/>
                <w:bCs/>
                <w:lang w:eastAsia="ja-JP"/>
              </w:rPr>
              <w:t>ith UL gap</w:t>
            </w:r>
          </w:p>
        </w:tc>
        <w:tc>
          <w:tcPr>
            <w:tcW w:w="4881" w:type="dxa"/>
            <w:vMerge w:val="continue"/>
            <w:shd w:val="clear" w:color="auto" w:fill="FFF2CC"/>
          </w:tcPr>
          <w:p>
            <w:pPr>
              <w:spacing w:before="120"/>
              <w:jc w:val="center"/>
              <w:rPr>
                <w:rFonts w:eastAsia="Yu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trPr>
        <w:tc>
          <w:tcPr>
            <w:tcW w:w="1567" w:type="dxa"/>
            <w:tcBorders>
              <w:bottom w:val="single" w:color="auto" w:sz="4" w:space="0"/>
            </w:tcBorders>
            <w:shd w:val="clear" w:color="auto" w:fill="FFF2CC"/>
            <w:vAlign w:val="center"/>
          </w:tcPr>
          <w:p>
            <w:pPr>
              <w:spacing w:before="120"/>
              <w:jc w:val="center"/>
              <w:rPr>
                <w:rFonts w:eastAsia="Yu Mincho"/>
                <w:b/>
                <w:bCs/>
                <w:lang w:eastAsia="ja-JP"/>
              </w:rPr>
            </w:pPr>
            <w:r>
              <w:rPr>
                <w:rFonts w:hint="eastAsia" w:eastAsia="Yu Mincho"/>
                <w:b/>
                <w:bCs/>
                <w:lang w:eastAsia="ja-JP"/>
              </w:rPr>
              <w:t>A</w:t>
            </w:r>
          </w:p>
        </w:tc>
        <w:tc>
          <w:tcPr>
            <w:tcW w:w="1701" w:type="dxa"/>
            <w:tcBorders>
              <w:bottom w:val="single" w:color="auto" w:sz="4" w:space="0"/>
            </w:tcBorders>
            <w:shd w:val="clear" w:color="auto" w:fill="auto"/>
            <w:vAlign w:val="center"/>
          </w:tcPr>
          <w:p>
            <w:pPr>
              <w:spacing w:before="120"/>
              <w:jc w:val="center"/>
              <w:rPr>
                <w:rFonts w:eastAsia="Yu Mincho"/>
                <w:lang w:eastAsia="ja-JP"/>
              </w:rPr>
            </w:pPr>
            <w:r>
              <w:rPr>
                <w:rFonts w:hint="eastAsia" w:eastAsia="Yu Mincho"/>
                <w:lang w:eastAsia="ja-JP"/>
              </w:rPr>
              <w:t>H</w:t>
            </w:r>
            <w:r>
              <w:rPr>
                <w:rFonts w:eastAsia="Yu Mincho"/>
                <w:lang w:eastAsia="ja-JP"/>
              </w:rPr>
              <w:t>igh</w:t>
            </w:r>
          </w:p>
        </w:tc>
        <w:tc>
          <w:tcPr>
            <w:tcW w:w="1648" w:type="dxa"/>
            <w:tcBorders>
              <w:bottom w:val="single" w:color="auto" w:sz="4" w:space="0"/>
            </w:tcBorders>
            <w:shd w:val="clear" w:color="auto" w:fill="auto"/>
            <w:vAlign w:val="center"/>
          </w:tcPr>
          <w:p>
            <w:pPr>
              <w:spacing w:before="120"/>
              <w:jc w:val="center"/>
              <w:rPr>
                <w:rFonts w:eastAsia="Yu Mincho"/>
                <w:lang w:eastAsia="ja-JP"/>
              </w:rPr>
            </w:pPr>
            <w:r>
              <w:rPr>
                <w:rFonts w:hint="eastAsia" w:eastAsia="Yu Mincho"/>
                <w:lang w:eastAsia="ja-JP"/>
              </w:rPr>
              <w:t>H</w:t>
            </w:r>
            <w:r>
              <w:rPr>
                <w:rFonts w:eastAsia="Yu Mincho"/>
                <w:lang w:eastAsia="ja-JP"/>
              </w:rPr>
              <w:t>igh</w:t>
            </w:r>
          </w:p>
        </w:tc>
        <w:tc>
          <w:tcPr>
            <w:tcW w:w="4881" w:type="dxa"/>
            <w:tcBorders>
              <w:bottom w:val="single" w:color="auto" w:sz="4" w:space="0"/>
            </w:tcBorders>
            <w:shd w:val="clear" w:color="auto" w:fill="auto"/>
            <w:vAlign w:val="center"/>
          </w:tcPr>
          <w:p>
            <w:pPr>
              <w:numPr>
                <w:ilvl w:val="0"/>
                <w:numId w:val="0"/>
              </w:numPr>
              <w:overflowPunct w:val="0"/>
              <w:autoSpaceDE w:val="0"/>
              <w:autoSpaceDN w:val="0"/>
              <w:adjustRightInd w:val="0"/>
              <w:spacing w:before="120"/>
              <w:ind w:leftChars="0"/>
              <w:jc w:val="both"/>
              <w:textAlignment w:val="baseline"/>
              <w:rPr>
                <w:rFonts w:eastAsia="Yu Mincho"/>
                <w:sz w:val="18"/>
                <w:szCs w:val="18"/>
                <w:lang w:eastAsia="ja-JP"/>
              </w:rPr>
            </w:pPr>
            <w:r>
              <w:rPr>
                <w:rFonts w:eastAsia="Yu Mincho"/>
                <w:sz w:val="18"/>
                <w:szCs w:val="18"/>
                <w:lang w:eastAsia="ja-JP"/>
              </w:rPr>
              <w:t>UE cannot implement the human detection even if UL gaps are configured</w:t>
            </w:r>
            <w:r>
              <w:rPr>
                <w:rFonts w:hint="eastAsia"/>
                <w:sz w:val="18"/>
                <w:szCs w:val="18"/>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trPr>
        <w:tc>
          <w:tcPr>
            <w:tcW w:w="1567" w:type="dxa"/>
            <w:tcBorders>
              <w:bottom w:val="single" w:color="auto" w:sz="4" w:space="0"/>
            </w:tcBorders>
            <w:shd w:val="clear" w:color="auto" w:fill="FFF2CC"/>
            <w:vAlign w:val="center"/>
          </w:tcPr>
          <w:p>
            <w:pPr>
              <w:spacing w:before="120"/>
              <w:jc w:val="center"/>
              <w:rPr>
                <w:rFonts w:eastAsia="Yu Mincho"/>
                <w:b/>
                <w:bCs/>
                <w:lang w:eastAsia="ja-JP"/>
              </w:rPr>
            </w:pPr>
            <w:r>
              <w:rPr>
                <w:rFonts w:hint="eastAsia" w:eastAsia="Yu Mincho"/>
                <w:b/>
                <w:bCs/>
                <w:lang w:eastAsia="ja-JP"/>
              </w:rPr>
              <w:t>B</w:t>
            </w:r>
          </w:p>
        </w:tc>
        <w:tc>
          <w:tcPr>
            <w:tcW w:w="1701" w:type="dxa"/>
            <w:tcBorders>
              <w:bottom w:val="single" w:color="auto" w:sz="4" w:space="0"/>
            </w:tcBorders>
            <w:shd w:val="clear" w:color="auto" w:fill="auto"/>
            <w:vAlign w:val="center"/>
          </w:tcPr>
          <w:p>
            <w:pPr>
              <w:spacing w:before="120"/>
              <w:jc w:val="center"/>
              <w:rPr>
                <w:rFonts w:eastAsia="Yu Mincho"/>
                <w:lang w:eastAsia="ja-JP"/>
              </w:rPr>
            </w:pPr>
            <w:r>
              <w:rPr>
                <w:rFonts w:hint="eastAsia" w:eastAsia="Yu Mincho"/>
                <w:lang w:eastAsia="ja-JP"/>
              </w:rPr>
              <w:t>M</w:t>
            </w:r>
            <w:r>
              <w:rPr>
                <w:rFonts w:eastAsia="Yu Mincho"/>
                <w:lang w:eastAsia="ja-JP"/>
              </w:rPr>
              <w:t>id / Low</w:t>
            </w:r>
          </w:p>
        </w:tc>
        <w:tc>
          <w:tcPr>
            <w:tcW w:w="1648" w:type="dxa"/>
            <w:tcBorders>
              <w:bottom w:val="single" w:color="auto" w:sz="4" w:space="0"/>
            </w:tcBorders>
            <w:shd w:val="clear" w:color="auto" w:fill="auto"/>
            <w:vAlign w:val="center"/>
          </w:tcPr>
          <w:p>
            <w:pPr>
              <w:spacing w:before="120"/>
              <w:jc w:val="center"/>
              <w:rPr>
                <w:rFonts w:eastAsia="Yu Mincho"/>
                <w:lang w:eastAsia="ja-JP"/>
              </w:rPr>
            </w:pPr>
            <w:r>
              <w:rPr>
                <w:rFonts w:hint="eastAsia" w:eastAsia="Yu Mincho"/>
                <w:lang w:eastAsia="ja-JP"/>
              </w:rPr>
              <w:t>M</w:t>
            </w:r>
            <w:r>
              <w:rPr>
                <w:rFonts w:eastAsia="Yu Mincho"/>
                <w:lang w:eastAsia="ja-JP"/>
              </w:rPr>
              <w:t>id / Low</w:t>
            </w:r>
          </w:p>
        </w:tc>
        <w:tc>
          <w:tcPr>
            <w:tcW w:w="4881" w:type="dxa"/>
            <w:tcBorders>
              <w:bottom w:val="single" w:color="auto" w:sz="4" w:space="0"/>
            </w:tcBorders>
            <w:shd w:val="clear" w:color="auto" w:fill="auto"/>
            <w:vAlign w:val="center"/>
          </w:tcPr>
          <w:p>
            <w:pPr>
              <w:numPr>
                <w:ilvl w:val="0"/>
                <w:numId w:val="0"/>
              </w:numPr>
              <w:overflowPunct w:val="0"/>
              <w:autoSpaceDE w:val="0"/>
              <w:autoSpaceDN w:val="0"/>
              <w:adjustRightInd w:val="0"/>
              <w:spacing w:before="120"/>
              <w:ind w:leftChars="0"/>
              <w:jc w:val="both"/>
              <w:textAlignment w:val="baseline"/>
              <w:rPr>
                <w:rFonts w:eastAsia="Yu Mincho"/>
                <w:sz w:val="18"/>
                <w:szCs w:val="18"/>
                <w:lang w:eastAsia="ja-JP"/>
              </w:rPr>
            </w:pPr>
            <w:r>
              <w:rPr>
                <w:rFonts w:eastAsia="Yu Mincho"/>
                <w:sz w:val="18"/>
                <w:szCs w:val="18"/>
                <w:lang w:eastAsia="ja-JP"/>
              </w:rPr>
              <w:t>UE that shows good performance without UL gap and does not require any UL gaps</w:t>
            </w:r>
            <w:r>
              <w:rPr>
                <w:rFonts w:hint="eastAsia"/>
                <w:sz w:val="18"/>
                <w:szCs w:val="18"/>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trPr>
        <w:tc>
          <w:tcPr>
            <w:tcW w:w="1567" w:type="dxa"/>
            <w:tcBorders>
              <w:top w:val="single" w:color="auto" w:sz="4" w:space="0"/>
              <w:left w:val="single" w:color="auto" w:sz="4" w:space="0"/>
              <w:bottom w:val="single" w:color="auto" w:sz="4" w:space="0"/>
            </w:tcBorders>
            <w:shd w:val="clear" w:color="auto" w:fill="FFF2CC"/>
            <w:vAlign w:val="center"/>
          </w:tcPr>
          <w:p>
            <w:pPr>
              <w:spacing w:before="120"/>
              <w:jc w:val="center"/>
              <w:rPr>
                <w:rFonts w:eastAsia="Yu Mincho"/>
                <w:b/>
                <w:bCs/>
                <w:lang w:eastAsia="ja-JP"/>
              </w:rPr>
            </w:pPr>
            <w:r>
              <w:rPr>
                <w:rFonts w:eastAsia="Yu Mincho"/>
                <w:b/>
                <w:bCs/>
                <w:lang w:eastAsia="ja-JP"/>
              </w:rPr>
              <w:t>C</w:t>
            </w:r>
          </w:p>
          <w:p>
            <w:pPr>
              <w:spacing w:before="120"/>
              <w:jc w:val="center"/>
              <w:rPr>
                <w:rFonts w:eastAsia="Yu Mincho"/>
                <w:b/>
                <w:bCs/>
                <w:color w:val="FF0000"/>
                <w:lang w:eastAsia="ja-JP"/>
              </w:rPr>
            </w:pPr>
            <w:r>
              <w:rPr>
                <w:rFonts w:eastAsia="Yu Mincho"/>
                <w:b/>
                <w:bCs/>
                <w:color w:val="FF0000"/>
                <w:lang w:eastAsia="ja-JP"/>
              </w:rPr>
              <w:t>(Targeted UE)</w:t>
            </w:r>
          </w:p>
        </w:tc>
        <w:tc>
          <w:tcPr>
            <w:tcW w:w="1701" w:type="dxa"/>
            <w:tcBorders>
              <w:top w:val="single" w:color="auto" w:sz="4" w:space="0"/>
              <w:bottom w:val="single" w:color="auto" w:sz="4" w:space="0"/>
            </w:tcBorders>
            <w:shd w:val="clear" w:color="auto" w:fill="auto"/>
            <w:vAlign w:val="center"/>
          </w:tcPr>
          <w:p>
            <w:pPr>
              <w:spacing w:before="120"/>
              <w:jc w:val="center"/>
              <w:rPr>
                <w:rFonts w:eastAsia="Yu Mincho"/>
                <w:lang w:eastAsia="ja-JP"/>
              </w:rPr>
            </w:pPr>
            <w:r>
              <w:rPr>
                <w:rFonts w:hint="eastAsia" w:eastAsia="Yu Mincho"/>
                <w:lang w:eastAsia="ja-JP"/>
              </w:rPr>
              <w:t>H</w:t>
            </w:r>
            <w:r>
              <w:rPr>
                <w:rFonts w:eastAsia="Yu Mincho"/>
                <w:lang w:eastAsia="ja-JP"/>
              </w:rPr>
              <w:t>igh</w:t>
            </w:r>
          </w:p>
        </w:tc>
        <w:tc>
          <w:tcPr>
            <w:tcW w:w="1648" w:type="dxa"/>
            <w:tcBorders>
              <w:top w:val="single" w:color="auto" w:sz="4" w:space="0"/>
              <w:bottom w:val="single" w:color="auto" w:sz="4" w:space="0"/>
            </w:tcBorders>
            <w:shd w:val="clear" w:color="auto" w:fill="auto"/>
            <w:vAlign w:val="center"/>
          </w:tcPr>
          <w:p>
            <w:pPr>
              <w:spacing w:before="120"/>
              <w:jc w:val="center"/>
              <w:rPr>
                <w:rFonts w:eastAsia="Yu Mincho"/>
                <w:lang w:eastAsia="ja-JP"/>
              </w:rPr>
            </w:pPr>
            <w:r>
              <w:rPr>
                <w:rFonts w:eastAsia="Yu Mincho"/>
                <w:lang w:eastAsia="ja-JP"/>
              </w:rPr>
              <w:t xml:space="preserve">Low / Very </w:t>
            </w:r>
            <w:r>
              <w:rPr>
                <w:rFonts w:hint="eastAsia" w:eastAsia="Yu Mincho"/>
                <w:lang w:eastAsia="ja-JP"/>
              </w:rPr>
              <w:t>L</w:t>
            </w:r>
            <w:r>
              <w:rPr>
                <w:rFonts w:eastAsia="Yu Mincho"/>
                <w:lang w:eastAsia="ja-JP"/>
              </w:rPr>
              <w:t>ow</w:t>
            </w:r>
          </w:p>
        </w:tc>
        <w:tc>
          <w:tcPr>
            <w:tcW w:w="4881" w:type="dxa"/>
            <w:tcBorders>
              <w:top w:val="single" w:color="auto" w:sz="4" w:space="0"/>
              <w:bottom w:val="single" w:color="auto" w:sz="4" w:space="0"/>
              <w:right w:val="single" w:color="auto" w:sz="4" w:space="0"/>
            </w:tcBorders>
            <w:shd w:val="clear" w:color="auto" w:fill="auto"/>
            <w:vAlign w:val="center"/>
          </w:tcPr>
          <w:p>
            <w:pPr>
              <w:numPr>
                <w:ilvl w:val="0"/>
                <w:numId w:val="0"/>
              </w:numPr>
              <w:overflowPunct w:val="0"/>
              <w:autoSpaceDE w:val="0"/>
              <w:autoSpaceDN w:val="0"/>
              <w:adjustRightInd w:val="0"/>
              <w:spacing w:before="120"/>
              <w:ind w:leftChars="0"/>
              <w:jc w:val="both"/>
              <w:textAlignment w:val="baseline"/>
              <w:rPr>
                <w:rFonts w:eastAsia="Yu Mincho"/>
                <w:sz w:val="18"/>
                <w:szCs w:val="18"/>
                <w:lang w:eastAsia="ja-JP"/>
              </w:rPr>
            </w:pPr>
            <w:r>
              <w:rPr>
                <w:rFonts w:eastAsia="Yu Mincho"/>
                <w:sz w:val="18"/>
                <w:szCs w:val="18"/>
                <w:lang w:eastAsia="ja-JP"/>
              </w:rPr>
              <w:t>UE that don't shows good performance without UL gap, so it requires any UL gaps for improvement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trPr>
        <w:tc>
          <w:tcPr>
            <w:tcW w:w="1567" w:type="dxa"/>
            <w:tcBorders>
              <w:top w:val="single" w:color="auto" w:sz="4" w:space="0"/>
            </w:tcBorders>
            <w:shd w:val="clear" w:color="auto" w:fill="FFF2CC"/>
            <w:vAlign w:val="center"/>
          </w:tcPr>
          <w:p>
            <w:pPr>
              <w:spacing w:before="120"/>
              <w:jc w:val="center"/>
              <w:rPr>
                <w:rFonts w:eastAsia="Yu Mincho"/>
                <w:b/>
                <w:bCs/>
                <w:lang w:eastAsia="ja-JP"/>
              </w:rPr>
            </w:pPr>
            <w:r>
              <w:rPr>
                <w:rFonts w:eastAsia="Yu Mincho"/>
                <w:b/>
                <w:bCs/>
                <w:lang w:eastAsia="ja-JP"/>
              </w:rPr>
              <w:t>D</w:t>
            </w:r>
          </w:p>
        </w:tc>
        <w:tc>
          <w:tcPr>
            <w:tcW w:w="1701" w:type="dxa"/>
            <w:tcBorders>
              <w:top w:val="single" w:color="auto" w:sz="4" w:space="0"/>
            </w:tcBorders>
            <w:shd w:val="clear" w:color="auto" w:fill="auto"/>
            <w:vAlign w:val="center"/>
          </w:tcPr>
          <w:p>
            <w:pPr>
              <w:spacing w:before="120"/>
              <w:jc w:val="center"/>
              <w:rPr>
                <w:rFonts w:eastAsia="Yu Mincho"/>
                <w:lang w:eastAsia="ja-JP"/>
              </w:rPr>
            </w:pPr>
            <w:r>
              <w:rPr>
                <w:rFonts w:eastAsia="Yu Mincho"/>
                <w:lang w:eastAsia="ja-JP"/>
              </w:rPr>
              <w:t xml:space="preserve">Mid / </w:t>
            </w:r>
            <w:r>
              <w:rPr>
                <w:rFonts w:hint="eastAsia" w:eastAsia="Yu Mincho"/>
                <w:lang w:eastAsia="ja-JP"/>
              </w:rPr>
              <w:t>Low</w:t>
            </w:r>
          </w:p>
        </w:tc>
        <w:tc>
          <w:tcPr>
            <w:tcW w:w="1648" w:type="dxa"/>
            <w:tcBorders>
              <w:top w:val="single" w:color="auto" w:sz="4" w:space="0"/>
            </w:tcBorders>
            <w:shd w:val="clear" w:color="auto" w:fill="auto"/>
            <w:vAlign w:val="center"/>
          </w:tcPr>
          <w:p>
            <w:pPr>
              <w:spacing w:before="120"/>
              <w:jc w:val="center"/>
              <w:rPr>
                <w:rFonts w:eastAsia="Yu Mincho"/>
                <w:lang w:eastAsia="ja-JP"/>
              </w:rPr>
            </w:pPr>
            <w:r>
              <w:rPr>
                <w:rFonts w:eastAsia="Yu Mincho"/>
                <w:lang w:eastAsia="ja-JP"/>
              </w:rPr>
              <w:t xml:space="preserve">Low / Very </w:t>
            </w:r>
            <w:r>
              <w:rPr>
                <w:rFonts w:hint="eastAsia" w:eastAsia="Yu Mincho"/>
                <w:lang w:eastAsia="ja-JP"/>
              </w:rPr>
              <w:t>L</w:t>
            </w:r>
            <w:r>
              <w:rPr>
                <w:rFonts w:eastAsia="Yu Mincho"/>
                <w:lang w:eastAsia="ja-JP"/>
              </w:rPr>
              <w:t>ow</w:t>
            </w:r>
          </w:p>
        </w:tc>
        <w:tc>
          <w:tcPr>
            <w:tcW w:w="4881" w:type="dxa"/>
            <w:tcBorders>
              <w:top w:val="single" w:color="auto" w:sz="4" w:space="0"/>
            </w:tcBorders>
            <w:shd w:val="clear" w:color="auto" w:fill="auto"/>
            <w:vAlign w:val="center"/>
          </w:tcPr>
          <w:p>
            <w:pPr>
              <w:numPr>
                <w:ilvl w:val="0"/>
                <w:numId w:val="0"/>
              </w:numPr>
              <w:overflowPunct w:val="0"/>
              <w:autoSpaceDE w:val="0"/>
              <w:autoSpaceDN w:val="0"/>
              <w:adjustRightInd w:val="0"/>
              <w:spacing w:before="120"/>
              <w:ind w:leftChars="0"/>
              <w:jc w:val="both"/>
              <w:textAlignment w:val="baseline"/>
              <w:rPr>
                <w:rFonts w:eastAsia="Yu Mincho"/>
                <w:sz w:val="18"/>
                <w:szCs w:val="18"/>
                <w:lang w:eastAsia="ja-JP"/>
              </w:rPr>
            </w:pPr>
            <w:r>
              <w:rPr>
                <w:rFonts w:eastAsia="Yu Mincho"/>
                <w:sz w:val="18"/>
                <w:szCs w:val="18"/>
                <w:lang w:eastAsia="ja-JP"/>
              </w:rPr>
              <w:t>UE that shows good performance without UL gap, but it requires any UL gaps for further improvement.</w:t>
            </w:r>
          </w:p>
        </w:tc>
      </w:tr>
    </w:tbl>
    <w:p>
      <w:pPr>
        <w:pStyle w:val="3"/>
        <w:rPr>
          <w:rFonts w:hint="eastAsia" w:eastAsia="宋体"/>
          <w:color w:val="auto"/>
          <w:sz w:val="21"/>
          <w:szCs w:val="21"/>
          <w:highlight w:val="none"/>
          <w:lang w:val="en-US" w:eastAsia="zh-CN"/>
        </w:rPr>
      </w:pPr>
      <w:r>
        <w:rPr>
          <w:rFonts w:hint="eastAsia" w:eastAsia="宋体"/>
          <w:color w:val="auto"/>
          <w:sz w:val="21"/>
          <w:szCs w:val="21"/>
          <w:highlight w:val="none"/>
          <w:lang w:val="en-US" w:eastAsia="zh-CN"/>
        </w:rPr>
        <w:t xml:space="preserve">For Type A and Type B UEs, no performance gain can be brought by UL gap. For Type D UE, only weak gain can be brought by UL gap. Only Type C UE is our targeted UE, UL gap can bring obvious gain with the help of BPS during UL gap. </w:t>
      </w:r>
    </w:p>
    <w:p>
      <w:pPr>
        <w:pStyle w:val="3"/>
        <w:rPr>
          <w:rFonts w:hint="eastAsia" w:eastAsia="宋体"/>
          <w:color w:val="auto"/>
          <w:sz w:val="21"/>
          <w:szCs w:val="21"/>
          <w:highlight w:val="none"/>
          <w:lang w:val="en-US" w:eastAsia="zh-CN"/>
        </w:rPr>
      </w:pPr>
      <w:r>
        <w:rPr>
          <w:rFonts w:hint="eastAsia" w:eastAsia="宋体"/>
          <w:color w:val="auto"/>
          <w:sz w:val="21"/>
          <w:szCs w:val="21"/>
          <w:highlight w:val="none"/>
          <w:lang w:val="en-US" w:eastAsia="zh-CN"/>
        </w:rPr>
        <w:t>The following options are proposed during last meeting:</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6"/>
              <w:numPr>
                <w:ilvl w:val="0"/>
                <w:numId w:val="6"/>
              </w:numPr>
              <w:overflowPunct/>
              <w:autoSpaceDE/>
              <w:autoSpaceDN/>
              <w:adjustRightInd/>
              <w:spacing w:after="120"/>
              <w:ind w:firstLineChars="0"/>
              <w:textAlignment w:val="auto"/>
              <w:rPr>
                <w:rFonts w:hint="eastAsia"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Option 1: Based on P-MPR reporting without phantom to distinguish UE type A, B and C.</w:t>
            </w:r>
          </w:p>
          <w:p>
            <w:pPr>
              <w:pStyle w:val="26"/>
              <w:numPr>
                <w:ilvl w:val="0"/>
                <w:numId w:val="6"/>
              </w:numPr>
              <w:ind w:firstLineChars="0"/>
              <w:rPr>
                <w:rFonts w:hint="eastAsia"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Option 2: Based on P-MPR reporting with phantom to distinguish UE type A, B, C and/or D</w:t>
            </w:r>
          </w:p>
          <w:p>
            <w:pPr>
              <w:pStyle w:val="26"/>
              <w:numPr>
                <w:ilvl w:val="0"/>
                <w:numId w:val="6"/>
              </w:numPr>
              <w:ind w:firstLineChars="0"/>
              <w:rPr>
                <w:rFonts w:hint="eastAsia"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 xml:space="preserve">Option 3: Based on peak EIRP reporting without phantom </w:t>
            </w:r>
          </w:p>
          <w:p>
            <w:pPr>
              <w:pStyle w:val="26"/>
              <w:numPr>
                <w:ilvl w:val="0"/>
                <w:numId w:val="6"/>
              </w:numPr>
              <w:ind w:firstLineChars="0"/>
              <w:rPr>
                <w:rFonts w:hint="eastAsia"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Option 4: Based on hybrid of peak EIRP reporting and P-MPR reporting with phantom</w:t>
            </w:r>
          </w:p>
          <w:p>
            <w:pPr>
              <w:pStyle w:val="26"/>
              <w:numPr>
                <w:ilvl w:val="0"/>
                <w:numId w:val="6"/>
              </w:numPr>
              <w:ind w:firstLineChars="0"/>
              <w:rPr>
                <w:rFonts w:hint="eastAsia"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Option 5: Based on P-MPR reporting without phantom, but with RADAR jamming</w:t>
            </w:r>
          </w:p>
          <w:p>
            <w:pPr>
              <w:pStyle w:val="26"/>
              <w:numPr>
                <w:ilvl w:val="0"/>
                <w:numId w:val="6"/>
              </w:numPr>
              <w:ind w:firstLineChars="0"/>
              <w:rPr>
                <w:rFonts w:hint="default" w:eastAsia="宋体"/>
                <w:color w:val="auto"/>
                <w:sz w:val="21"/>
                <w:szCs w:val="21"/>
                <w:vertAlign w:val="baseline"/>
                <w:lang w:val="en-US" w:eastAsia="zh-CN"/>
              </w:rPr>
            </w:pPr>
            <w:r>
              <w:rPr>
                <w:rFonts w:hint="eastAsia" w:ascii="Times New Roman" w:hAnsi="Times New Roman" w:eastAsia="宋体" w:cs="Times New Roman"/>
                <w:color w:val="auto"/>
                <w:kern w:val="0"/>
                <w:sz w:val="21"/>
                <w:szCs w:val="21"/>
                <w:lang w:val="en-US" w:eastAsia="zh-CN" w:bidi="ar-SA"/>
              </w:rPr>
              <w:t>Option 6: Leave the test method design to RAN5</w:t>
            </w:r>
          </w:p>
        </w:tc>
      </w:tr>
    </w:tbl>
    <w:p>
      <w:pPr>
        <w:rPr>
          <w:rFonts w:hint="eastAsia" w:eastAsia="宋体"/>
          <w:color w:val="auto"/>
          <w:sz w:val="21"/>
          <w:szCs w:val="21"/>
          <w:lang w:val="en-US" w:eastAsia="zh-CN"/>
        </w:rPr>
      </w:pPr>
      <w:r>
        <w:rPr>
          <w:rFonts w:hint="eastAsia" w:eastAsia="宋体"/>
          <w:color w:val="auto"/>
          <w:sz w:val="21"/>
          <w:szCs w:val="21"/>
          <w:lang w:val="en-US" w:eastAsia="zh-CN"/>
        </w:rPr>
        <w:t>We believe Option 1 and Option 2 can meet the primary purpose analyzed above, however considering the phantom is not allowed to introduce, Option 1 is preferred, i.e. the test setup can be shown as following table:</w:t>
      </w:r>
    </w:p>
    <w:tbl>
      <w:tblPr>
        <w:tblStyle w:val="15"/>
        <w:tblW w:w="0" w:type="auto"/>
        <w:jc w:val="center"/>
        <w:tblLayout w:type="autofit"/>
        <w:tblCellMar>
          <w:top w:w="0" w:type="dxa"/>
          <w:left w:w="0" w:type="dxa"/>
          <w:bottom w:w="0" w:type="dxa"/>
          <w:right w:w="0" w:type="dxa"/>
        </w:tblCellMar>
      </w:tblPr>
      <w:tblGrid>
        <w:gridCol w:w="1608"/>
        <w:gridCol w:w="1744"/>
        <w:gridCol w:w="1429"/>
        <w:gridCol w:w="1152"/>
        <w:gridCol w:w="1793"/>
        <w:gridCol w:w="1650"/>
      </w:tblGrid>
      <w:tr>
        <w:tblPrEx>
          <w:tblCellMar>
            <w:top w:w="0" w:type="dxa"/>
            <w:left w:w="0" w:type="dxa"/>
            <w:bottom w:w="0" w:type="dxa"/>
            <w:right w:w="0" w:type="dxa"/>
          </w:tblCellMar>
        </w:tblPrEx>
        <w:trPr>
          <w:trHeight w:val="593" w:hRule="atLeast"/>
          <w:jc w:val="center"/>
        </w:trPr>
        <w:tc>
          <w:tcPr>
            <w:tcW w:w="1668" w:type="dxa"/>
            <w:vMerge w:val="restart"/>
            <w:tcBorders>
              <w:top w:val="single" w:color="auto" w:sz="2" w:space="0"/>
              <w:left w:val="single" w:color="auto" w:sz="2" w:space="0"/>
              <w:right w:val="single" w:color="auto" w:sz="6" w:space="0"/>
            </w:tcBorders>
            <w:shd w:val="clear" w:color="auto" w:fill="FFC000"/>
          </w:tcPr>
          <w:p>
            <w:pPr>
              <w:rPr>
                <w:rFonts w:hint="default" w:eastAsia="宋体"/>
                <w:color w:val="auto"/>
                <w:lang w:val="en-US" w:eastAsia="zh-CN"/>
              </w:rPr>
            </w:pPr>
            <w:r>
              <w:rPr>
                <w:color w:val="auto"/>
              </w:rPr>
              <w:t>Test</w:t>
            </w:r>
            <w:r>
              <w:rPr>
                <w:rFonts w:hint="eastAsia" w:eastAsia="宋体"/>
                <w:color w:val="auto"/>
                <w:lang w:val="en-US" w:eastAsia="zh-CN"/>
              </w:rPr>
              <w:t xml:space="preserve"> step</w:t>
            </w:r>
          </w:p>
        </w:tc>
        <w:tc>
          <w:tcPr>
            <w:tcW w:w="1749" w:type="dxa"/>
            <w:vMerge w:val="restart"/>
            <w:tcBorders>
              <w:top w:val="single" w:color="auto" w:sz="2" w:space="0"/>
              <w:left w:val="single" w:color="auto" w:sz="2" w:space="0"/>
              <w:right w:val="single" w:color="auto" w:sz="6" w:space="0"/>
            </w:tcBorders>
            <w:shd w:val="clear" w:color="auto" w:fill="FFC000"/>
            <w:tcMar>
              <w:top w:w="0" w:type="dxa"/>
              <w:left w:w="75" w:type="dxa"/>
              <w:bottom w:w="0" w:type="dxa"/>
              <w:right w:w="75" w:type="dxa"/>
            </w:tcMar>
          </w:tcPr>
          <w:p>
            <w:pPr>
              <w:rPr>
                <w:color w:val="auto"/>
              </w:rPr>
            </w:pPr>
            <w:r>
              <w:rPr>
                <w:color w:val="auto"/>
              </w:rPr>
              <w:t>Blocking/phantom</w:t>
            </w:r>
          </w:p>
        </w:tc>
        <w:tc>
          <w:tcPr>
            <w:tcW w:w="1482" w:type="dxa"/>
            <w:vMerge w:val="restart"/>
            <w:tcBorders>
              <w:top w:val="single" w:color="auto" w:sz="2" w:space="0"/>
              <w:left w:val="single" w:color="auto" w:sz="6" w:space="0"/>
              <w:right w:val="single" w:color="auto" w:sz="6" w:space="0"/>
            </w:tcBorders>
            <w:shd w:val="clear" w:color="auto" w:fill="FFC000"/>
          </w:tcPr>
          <w:p>
            <w:pPr>
              <w:rPr>
                <w:color w:val="auto"/>
              </w:rPr>
            </w:pPr>
            <w:r>
              <w:rPr>
                <w:color w:val="auto"/>
              </w:rPr>
              <w:t>UL gap</w:t>
            </w:r>
          </w:p>
        </w:tc>
        <w:tc>
          <w:tcPr>
            <w:tcW w:w="4736" w:type="dxa"/>
            <w:gridSpan w:val="3"/>
            <w:tcBorders>
              <w:top w:val="single" w:color="auto" w:sz="2" w:space="0"/>
              <w:left w:val="single" w:color="auto" w:sz="6" w:space="0"/>
              <w:bottom w:val="single" w:color="auto" w:sz="12" w:space="0"/>
              <w:right w:val="single" w:color="auto" w:sz="2" w:space="0"/>
            </w:tcBorders>
            <w:shd w:val="clear" w:color="auto" w:fill="FFC000"/>
            <w:tcMar>
              <w:top w:w="0" w:type="dxa"/>
              <w:left w:w="75" w:type="dxa"/>
              <w:bottom w:w="0" w:type="dxa"/>
              <w:right w:w="75" w:type="dxa"/>
            </w:tcMar>
          </w:tcPr>
          <w:p>
            <w:pPr>
              <w:jc w:val="center"/>
              <w:rPr>
                <w:color w:val="auto"/>
              </w:rPr>
            </w:pPr>
            <w:r>
              <w:rPr>
                <w:rFonts w:hint="eastAsia" w:eastAsia="宋体"/>
                <w:color w:val="auto"/>
                <w:lang w:val="en-US" w:eastAsia="zh-CN"/>
              </w:rPr>
              <w:t>P-MPR</w:t>
            </w:r>
            <w:r>
              <w:rPr>
                <w:color w:val="auto"/>
              </w:rPr>
              <w:t xml:space="preserve"> of UE</w:t>
            </w:r>
          </w:p>
        </w:tc>
      </w:tr>
      <w:tr>
        <w:tblPrEx>
          <w:tblCellMar>
            <w:top w:w="0" w:type="dxa"/>
            <w:left w:w="0" w:type="dxa"/>
            <w:bottom w:w="0" w:type="dxa"/>
            <w:right w:w="0" w:type="dxa"/>
          </w:tblCellMar>
        </w:tblPrEx>
        <w:trPr>
          <w:trHeight w:val="593" w:hRule="atLeast"/>
          <w:jc w:val="center"/>
        </w:trPr>
        <w:tc>
          <w:tcPr>
            <w:tcW w:w="1668" w:type="dxa"/>
            <w:vMerge w:val="continue"/>
            <w:tcBorders>
              <w:left w:val="single" w:color="auto" w:sz="2" w:space="0"/>
              <w:bottom w:val="single" w:color="auto" w:sz="12" w:space="0"/>
              <w:right w:val="single" w:color="auto" w:sz="6" w:space="0"/>
            </w:tcBorders>
            <w:shd w:val="clear" w:color="auto" w:fill="FFC000"/>
          </w:tcPr>
          <w:p>
            <w:pPr>
              <w:rPr>
                <w:color w:val="auto"/>
              </w:rPr>
            </w:pPr>
          </w:p>
        </w:tc>
        <w:tc>
          <w:tcPr>
            <w:tcW w:w="1749" w:type="dxa"/>
            <w:vMerge w:val="continue"/>
            <w:tcBorders>
              <w:left w:val="single" w:color="auto" w:sz="2" w:space="0"/>
              <w:bottom w:val="single" w:color="auto" w:sz="12" w:space="0"/>
              <w:right w:val="single" w:color="auto" w:sz="6" w:space="0"/>
            </w:tcBorders>
            <w:shd w:val="clear" w:color="auto" w:fill="FFC000"/>
            <w:tcMar>
              <w:top w:w="0" w:type="dxa"/>
              <w:left w:w="75" w:type="dxa"/>
              <w:bottom w:w="0" w:type="dxa"/>
              <w:right w:w="75" w:type="dxa"/>
            </w:tcMar>
          </w:tcPr>
          <w:p>
            <w:pPr>
              <w:rPr>
                <w:color w:val="auto"/>
              </w:rPr>
            </w:pPr>
          </w:p>
        </w:tc>
        <w:tc>
          <w:tcPr>
            <w:tcW w:w="1482" w:type="dxa"/>
            <w:vMerge w:val="continue"/>
            <w:tcBorders>
              <w:left w:val="single" w:color="auto" w:sz="6" w:space="0"/>
              <w:bottom w:val="single" w:color="auto" w:sz="12" w:space="0"/>
              <w:right w:val="single" w:color="auto" w:sz="6" w:space="0"/>
            </w:tcBorders>
            <w:shd w:val="clear" w:color="auto" w:fill="FFC000"/>
          </w:tcPr>
          <w:p>
            <w:pPr>
              <w:rPr>
                <w:color w:val="auto"/>
              </w:rPr>
            </w:pPr>
          </w:p>
        </w:tc>
        <w:tc>
          <w:tcPr>
            <w:tcW w:w="1181" w:type="dxa"/>
            <w:tcBorders>
              <w:top w:val="single" w:color="auto" w:sz="2" w:space="0"/>
              <w:left w:val="single" w:color="auto" w:sz="6" w:space="0"/>
              <w:bottom w:val="single" w:color="auto" w:sz="12" w:space="0"/>
              <w:right w:val="single" w:color="auto" w:sz="6" w:space="0"/>
            </w:tcBorders>
            <w:shd w:val="clear" w:color="auto" w:fill="FFC000"/>
            <w:tcMar>
              <w:top w:w="0" w:type="dxa"/>
              <w:left w:w="75" w:type="dxa"/>
              <w:bottom w:w="0" w:type="dxa"/>
              <w:right w:w="75" w:type="dxa"/>
            </w:tcMar>
          </w:tcPr>
          <w:p>
            <w:pPr>
              <w:rPr>
                <w:color w:val="auto"/>
              </w:rPr>
            </w:pPr>
            <w:r>
              <w:rPr>
                <w:rFonts w:hint="eastAsia" w:eastAsia="宋体"/>
                <w:color w:val="auto"/>
                <w:lang w:val="en-US" w:eastAsia="zh-CN"/>
              </w:rPr>
              <w:t xml:space="preserve">Type </w:t>
            </w:r>
            <w:r>
              <w:rPr>
                <w:color w:val="auto"/>
              </w:rPr>
              <w:t>A</w:t>
            </w:r>
          </w:p>
        </w:tc>
        <w:tc>
          <w:tcPr>
            <w:tcW w:w="1853" w:type="dxa"/>
            <w:tcBorders>
              <w:top w:val="single" w:color="auto" w:sz="2" w:space="0"/>
              <w:left w:val="single" w:color="auto" w:sz="6" w:space="0"/>
              <w:bottom w:val="single" w:color="auto" w:sz="12" w:space="0"/>
              <w:right w:val="single" w:color="auto" w:sz="6" w:space="0"/>
            </w:tcBorders>
            <w:shd w:val="clear" w:color="auto" w:fill="FFC000"/>
            <w:tcMar>
              <w:top w:w="0" w:type="dxa"/>
              <w:left w:w="75" w:type="dxa"/>
              <w:bottom w:w="0" w:type="dxa"/>
              <w:right w:w="75" w:type="dxa"/>
            </w:tcMar>
          </w:tcPr>
          <w:p>
            <w:pPr>
              <w:rPr>
                <w:color w:val="auto"/>
              </w:rPr>
            </w:pPr>
            <w:r>
              <w:rPr>
                <w:rFonts w:hint="eastAsia" w:eastAsia="宋体"/>
                <w:color w:val="auto"/>
                <w:lang w:val="en-US" w:eastAsia="zh-CN"/>
              </w:rPr>
              <w:t xml:space="preserve">Type </w:t>
            </w:r>
            <w:r>
              <w:rPr>
                <w:color w:val="auto"/>
              </w:rPr>
              <w:t>B</w:t>
            </w:r>
          </w:p>
        </w:tc>
        <w:tc>
          <w:tcPr>
            <w:tcW w:w="1702" w:type="dxa"/>
            <w:tcBorders>
              <w:top w:val="single" w:color="auto" w:sz="2" w:space="0"/>
              <w:left w:val="single" w:color="auto" w:sz="6" w:space="0"/>
              <w:bottom w:val="single" w:color="auto" w:sz="12" w:space="0"/>
              <w:right w:val="single" w:color="auto" w:sz="2" w:space="0"/>
            </w:tcBorders>
            <w:shd w:val="clear" w:color="auto" w:fill="FFC000"/>
            <w:tcMar>
              <w:top w:w="0" w:type="dxa"/>
              <w:left w:w="75" w:type="dxa"/>
              <w:bottom w:w="0" w:type="dxa"/>
              <w:right w:w="75" w:type="dxa"/>
            </w:tcMar>
          </w:tcPr>
          <w:p>
            <w:pPr>
              <w:rPr>
                <w:color w:val="auto"/>
              </w:rPr>
            </w:pPr>
            <w:r>
              <w:rPr>
                <w:rFonts w:hint="eastAsia" w:eastAsia="宋体"/>
                <w:color w:val="auto"/>
                <w:lang w:val="en-US" w:eastAsia="zh-CN"/>
              </w:rPr>
              <w:t xml:space="preserve">Type </w:t>
            </w:r>
            <w:r>
              <w:rPr>
                <w:color w:val="auto"/>
              </w:rPr>
              <w:t xml:space="preserve">C </w:t>
            </w:r>
          </w:p>
        </w:tc>
      </w:tr>
      <w:tr>
        <w:tblPrEx>
          <w:tblCellMar>
            <w:top w:w="0" w:type="dxa"/>
            <w:left w:w="0" w:type="dxa"/>
            <w:bottom w:w="0" w:type="dxa"/>
            <w:right w:w="0" w:type="dxa"/>
          </w:tblCellMar>
        </w:tblPrEx>
        <w:trPr>
          <w:trHeight w:val="388" w:hRule="atLeast"/>
          <w:jc w:val="center"/>
        </w:trPr>
        <w:tc>
          <w:tcPr>
            <w:tcW w:w="1668" w:type="dxa"/>
            <w:tcBorders>
              <w:top w:val="single" w:color="auto" w:sz="6" w:space="0"/>
              <w:left w:val="single" w:color="auto" w:sz="2" w:space="0"/>
              <w:bottom w:val="single" w:color="auto" w:sz="6" w:space="0"/>
              <w:right w:val="single" w:color="auto" w:sz="6" w:space="0"/>
            </w:tcBorders>
            <w:shd w:val="clear" w:color="auto" w:fill="FFC000"/>
          </w:tcPr>
          <w:p>
            <w:pPr>
              <w:rPr>
                <w:color w:val="auto"/>
              </w:rPr>
            </w:pPr>
            <w:r>
              <w:rPr>
                <w:color w:val="auto"/>
              </w:rPr>
              <w:t>Step 1</w:t>
            </w:r>
          </w:p>
        </w:tc>
        <w:tc>
          <w:tcPr>
            <w:tcW w:w="1749" w:type="dxa"/>
            <w:tcBorders>
              <w:top w:val="single" w:color="auto" w:sz="6" w:space="0"/>
              <w:left w:val="single" w:color="auto" w:sz="2" w:space="0"/>
              <w:bottom w:val="single" w:color="auto" w:sz="6" w:space="0"/>
              <w:right w:val="single" w:color="auto" w:sz="6" w:space="0"/>
            </w:tcBorders>
            <w:shd w:val="clear" w:color="auto" w:fill="auto"/>
            <w:tcMar>
              <w:top w:w="0" w:type="dxa"/>
              <w:left w:w="75" w:type="dxa"/>
              <w:bottom w:w="0" w:type="dxa"/>
              <w:right w:w="75" w:type="dxa"/>
            </w:tcMar>
          </w:tcPr>
          <w:p>
            <w:pPr>
              <w:rPr>
                <w:color w:val="auto"/>
              </w:rPr>
            </w:pPr>
            <w:r>
              <w:rPr>
                <w:color w:val="auto"/>
              </w:rPr>
              <w:t>No</w:t>
            </w:r>
          </w:p>
        </w:tc>
        <w:tc>
          <w:tcPr>
            <w:tcW w:w="1482" w:type="dxa"/>
            <w:tcBorders>
              <w:top w:val="single" w:color="auto" w:sz="6" w:space="0"/>
              <w:left w:val="single" w:color="auto" w:sz="6" w:space="0"/>
              <w:bottom w:val="single" w:color="auto" w:sz="6" w:space="0"/>
              <w:right w:val="single" w:color="auto" w:sz="6" w:space="0"/>
            </w:tcBorders>
          </w:tcPr>
          <w:p>
            <w:pPr>
              <w:rPr>
                <w:color w:val="auto"/>
              </w:rPr>
            </w:pPr>
            <w:r>
              <w:rPr>
                <w:color w:val="auto"/>
              </w:rPr>
              <w:t>Yes</w:t>
            </w:r>
          </w:p>
        </w:tc>
        <w:tc>
          <w:tcPr>
            <w:tcW w:w="1181" w:type="dxa"/>
            <w:tcBorders>
              <w:top w:val="single" w:color="auto" w:sz="6" w:space="0"/>
              <w:left w:val="single" w:color="auto" w:sz="6" w:space="0"/>
              <w:bottom w:val="single" w:color="auto" w:sz="6" w:space="0"/>
              <w:right w:val="single" w:color="auto" w:sz="6" w:space="0"/>
            </w:tcBorders>
            <w:shd w:val="clear" w:color="auto" w:fill="auto"/>
            <w:tcMar>
              <w:top w:w="0" w:type="dxa"/>
              <w:left w:w="75" w:type="dxa"/>
              <w:bottom w:w="0" w:type="dxa"/>
              <w:right w:w="75" w:type="dxa"/>
            </w:tcMar>
          </w:tcPr>
          <w:p>
            <w:pPr>
              <w:rPr>
                <w:color w:val="auto"/>
              </w:rPr>
            </w:pPr>
            <w:r>
              <w:rPr>
                <w:color w:val="auto"/>
              </w:rPr>
              <w:t>High</w:t>
            </w:r>
          </w:p>
        </w:tc>
        <w:tc>
          <w:tcPr>
            <w:tcW w:w="1853" w:type="dxa"/>
            <w:tcBorders>
              <w:top w:val="single" w:color="auto" w:sz="6" w:space="0"/>
              <w:left w:val="single" w:color="auto" w:sz="6" w:space="0"/>
              <w:bottom w:val="single" w:color="auto" w:sz="6" w:space="0"/>
              <w:right w:val="single" w:color="auto" w:sz="6" w:space="0"/>
            </w:tcBorders>
            <w:shd w:val="clear" w:color="auto" w:fill="auto"/>
            <w:tcMar>
              <w:top w:w="0" w:type="dxa"/>
              <w:left w:w="75" w:type="dxa"/>
              <w:bottom w:w="0" w:type="dxa"/>
              <w:right w:w="75" w:type="dxa"/>
            </w:tcMar>
          </w:tcPr>
          <w:p>
            <w:pPr>
              <w:rPr>
                <w:color w:val="auto"/>
              </w:rPr>
            </w:pPr>
            <w:r>
              <w:rPr>
                <w:color w:val="auto"/>
              </w:rPr>
              <w:t>Low</w:t>
            </w:r>
          </w:p>
        </w:tc>
        <w:tc>
          <w:tcPr>
            <w:tcW w:w="1702" w:type="dxa"/>
            <w:tcBorders>
              <w:top w:val="single" w:color="auto" w:sz="6" w:space="0"/>
              <w:left w:val="single" w:color="auto" w:sz="6" w:space="0"/>
              <w:bottom w:val="single" w:color="auto" w:sz="6" w:space="0"/>
              <w:right w:val="single" w:color="auto" w:sz="2" w:space="0"/>
            </w:tcBorders>
            <w:shd w:val="clear" w:color="auto" w:fill="auto"/>
            <w:tcMar>
              <w:top w:w="0" w:type="dxa"/>
              <w:left w:w="75" w:type="dxa"/>
              <w:bottom w:w="0" w:type="dxa"/>
              <w:right w:w="75" w:type="dxa"/>
            </w:tcMar>
          </w:tcPr>
          <w:p>
            <w:pPr>
              <w:rPr>
                <w:color w:val="auto"/>
              </w:rPr>
            </w:pPr>
            <w:r>
              <w:rPr>
                <w:color w:val="auto"/>
              </w:rPr>
              <w:t>Low</w:t>
            </w:r>
          </w:p>
        </w:tc>
      </w:tr>
      <w:tr>
        <w:tblPrEx>
          <w:tblCellMar>
            <w:top w:w="0" w:type="dxa"/>
            <w:left w:w="0" w:type="dxa"/>
            <w:bottom w:w="0" w:type="dxa"/>
            <w:right w:w="0" w:type="dxa"/>
          </w:tblCellMar>
        </w:tblPrEx>
        <w:trPr>
          <w:trHeight w:val="352" w:hRule="atLeast"/>
          <w:jc w:val="center"/>
        </w:trPr>
        <w:tc>
          <w:tcPr>
            <w:tcW w:w="1668" w:type="dxa"/>
            <w:tcBorders>
              <w:top w:val="single" w:color="auto" w:sz="6" w:space="0"/>
              <w:left w:val="single" w:color="auto" w:sz="2" w:space="0"/>
              <w:bottom w:val="single" w:color="auto" w:sz="2" w:space="0"/>
              <w:right w:val="single" w:color="auto" w:sz="6" w:space="0"/>
            </w:tcBorders>
            <w:shd w:val="clear" w:color="auto" w:fill="FFC000"/>
          </w:tcPr>
          <w:p>
            <w:pPr>
              <w:rPr>
                <w:color w:val="auto"/>
              </w:rPr>
            </w:pPr>
            <w:r>
              <w:rPr>
                <w:color w:val="auto"/>
              </w:rPr>
              <w:t>Step 2</w:t>
            </w:r>
          </w:p>
        </w:tc>
        <w:tc>
          <w:tcPr>
            <w:tcW w:w="1749" w:type="dxa"/>
            <w:tcBorders>
              <w:top w:val="single" w:color="auto" w:sz="6" w:space="0"/>
              <w:left w:val="single" w:color="auto" w:sz="2" w:space="0"/>
              <w:bottom w:val="single" w:color="auto" w:sz="2" w:space="0"/>
              <w:right w:val="single" w:color="auto" w:sz="6" w:space="0"/>
            </w:tcBorders>
            <w:shd w:val="clear" w:color="auto" w:fill="auto"/>
            <w:tcMar>
              <w:top w:w="0" w:type="dxa"/>
              <w:left w:w="75" w:type="dxa"/>
              <w:bottom w:w="0" w:type="dxa"/>
              <w:right w:w="75" w:type="dxa"/>
            </w:tcMar>
          </w:tcPr>
          <w:p>
            <w:pPr>
              <w:rPr>
                <w:color w:val="auto"/>
              </w:rPr>
            </w:pPr>
            <w:r>
              <w:rPr>
                <w:color w:val="auto"/>
              </w:rPr>
              <w:t>No</w:t>
            </w:r>
          </w:p>
        </w:tc>
        <w:tc>
          <w:tcPr>
            <w:tcW w:w="1482" w:type="dxa"/>
            <w:tcBorders>
              <w:top w:val="single" w:color="auto" w:sz="6" w:space="0"/>
              <w:left w:val="single" w:color="auto" w:sz="6" w:space="0"/>
              <w:bottom w:val="single" w:color="auto" w:sz="2" w:space="0"/>
              <w:right w:val="single" w:color="auto" w:sz="6" w:space="0"/>
            </w:tcBorders>
          </w:tcPr>
          <w:p>
            <w:pPr>
              <w:rPr>
                <w:color w:val="auto"/>
              </w:rPr>
            </w:pPr>
            <w:r>
              <w:rPr>
                <w:color w:val="auto"/>
              </w:rPr>
              <w:t>No</w:t>
            </w:r>
          </w:p>
        </w:tc>
        <w:tc>
          <w:tcPr>
            <w:tcW w:w="1181" w:type="dxa"/>
            <w:tcBorders>
              <w:top w:val="single" w:color="auto" w:sz="6" w:space="0"/>
              <w:left w:val="single" w:color="auto" w:sz="6" w:space="0"/>
              <w:bottom w:val="single" w:color="auto" w:sz="2" w:space="0"/>
              <w:right w:val="single" w:color="auto" w:sz="6" w:space="0"/>
            </w:tcBorders>
            <w:shd w:val="clear" w:color="auto" w:fill="auto"/>
            <w:tcMar>
              <w:top w:w="0" w:type="dxa"/>
              <w:left w:w="75" w:type="dxa"/>
              <w:bottom w:w="0" w:type="dxa"/>
              <w:right w:w="75" w:type="dxa"/>
            </w:tcMar>
          </w:tcPr>
          <w:p>
            <w:pPr>
              <w:rPr>
                <w:color w:val="auto"/>
              </w:rPr>
            </w:pPr>
            <w:r>
              <w:rPr>
                <w:color w:val="auto"/>
              </w:rPr>
              <w:t>High</w:t>
            </w:r>
          </w:p>
        </w:tc>
        <w:tc>
          <w:tcPr>
            <w:tcW w:w="1853" w:type="dxa"/>
            <w:tcBorders>
              <w:top w:val="single" w:color="auto" w:sz="6" w:space="0"/>
              <w:left w:val="single" w:color="auto" w:sz="6" w:space="0"/>
              <w:bottom w:val="single" w:color="auto" w:sz="2" w:space="0"/>
              <w:right w:val="single" w:color="auto" w:sz="6" w:space="0"/>
            </w:tcBorders>
            <w:shd w:val="clear" w:color="auto" w:fill="auto"/>
            <w:tcMar>
              <w:top w:w="0" w:type="dxa"/>
              <w:left w:w="75" w:type="dxa"/>
              <w:bottom w:w="0" w:type="dxa"/>
              <w:right w:w="75" w:type="dxa"/>
            </w:tcMar>
          </w:tcPr>
          <w:p>
            <w:pPr>
              <w:rPr>
                <w:color w:val="auto"/>
              </w:rPr>
            </w:pPr>
            <w:r>
              <w:rPr>
                <w:color w:val="auto"/>
              </w:rPr>
              <w:t>Low</w:t>
            </w:r>
          </w:p>
        </w:tc>
        <w:tc>
          <w:tcPr>
            <w:tcW w:w="1702" w:type="dxa"/>
            <w:tcBorders>
              <w:top w:val="single" w:color="auto" w:sz="6" w:space="0"/>
              <w:left w:val="single" w:color="auto" w:sz="6" w:space="0"/>
              <w:bottom w:val="single" w:color="auto" w:sz="2" w:space="0"/>
              <w:right w:val="single" w:color="auto" w:sz="2" w:space="0"/>
            </w:tcBorders>
            <w:shd w:val="clear" w:color="auto" w:fill="auto"/>
            <w:tcMar>
              <w:top w:w="0" w:type="dxa"/>
              <w:left w:w="75" w:type="dxa"/>
              <w:bottom w:w="0" w:type="dxa"/>
              <w:right w:w="75" w:type="dxa"/>
            </w:tcMar>
          </w:tcPr>
          <w:p>
            <w:pPr>
              <w:rPr>
                <w:color w:val="auto"/>
              </w:rPr>
            </w:pPr>
            <w:r>
              <w:rPr>
                <w:color w:val="auto"/>
              </w:rPr>
              <w:t>High</w:t>
            </w:r>
          </w:p>
        </w:tc>
      </w:tr>
    </w:tbl>
    <w:p>
      <w:pPr>
        <w:pStyle w:val="3"/>
        <w:tabs>
          <w:tab w:val="left" w:pos="226"/>
          <w:tab w:val="left" w:pos="284"/>
          <w:tab w:val="left" w:pos="5103"/>
        </w:tabs>
        <w:snapToGrid w:val="0"/>
        <w:spacing w:before="156" w:beforeLines="50"/>
        <w:rPr>
          <w:rFonts w:hint="default" w:eastAsia="宋体" w:cs="Times New Roman"/>
          <w:b/>
          <w:bCs/>
          <w:color w:val="auto"/>
          <w:sz w:val="21"/>
          <w:szCs w:val="21"/>
          <w:highlight w:val="none"/>
          <w:lang w:val="en-US" w:eastAsia="zh-CN" w:bidi="ar-SA"/>
        </w:rPr>
      </w:pPr>
      <w:r>
        <w:rPr>
          <w:rFonts w:hint="eastAsia" w:eastAsia="宋体" w:cs="Times New Roman"/>
          <w:b/>
          <w:bCs/>
          <w:color w:val="auto"/>
          <w:sz w:val="21"/>
          <w:szCs w:val="21"/>
          <w:highlight w:val="none"/>
          <w:lang w:val="en-US" w:eastAsia="zh-CN" w:bidi="ar-SA"/>
        </w:rPr>
        <w:t>Proposal 2: For the test methodology, Option 1 is preferred.</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3"/>
        <w:tabs>
          <w:tab w:val="left" w:pos="226"/>
          <w:tab w:val="left" w:pos="284"/>
          <w:tab w:val="left" w:pos="5103"/>
        </w:tabs>
        <w:snapToGrid w:val="0"/>
        <w:rPr>
          <w:rFonts w:eastAsia="宋体"/>
          <w:bCs/>
          <w:color w:val="auto"/>
          <w:sz w:val="21"/>
          <w:szCs w:val="21"/>
          <w:lang w:val="en-GB" w:eastAsia="zh-CN"/>
        </w:rPr>
      </w:pPr>
      <w:r>
        <w:rPr>
          <w:rFonts w:eastAsia="宋体"/>
          <w:bCs/>
          <w:color w:val="auto"/>
          <w:sz w:val="21"/>
          <w:szCs w:val="21"/>
          <w:lang w:val="en-GB" w:eastAsia="zh-CN"/>
        </w:rPr>
        <w:t xml:space="preserve">In this </w:t>
      </w:r>
      <w:r>
        <w:rPr>
          <w:rFonts w:hint="eastAsia" w:eastAsia="宋体"/>
          <w:bCs/>
          <w:color w:val="auto"/>
          <w:sz w:val="21"/>
          <w:szCs w:val="21"/>
          <w:lang w:val="en-US" w:eastAsia="zh-CN"/>
        </w:rPr>
        <w:t>contribution</w:t>
      </w:r>
      <w:r>
        <w:rPr>
          <w:rFonts w:eastAsia="宋体"/>
          <w:bCs/>
          <w:color w:val="auto"/>
          <w:sz w:val="21"/>
          <w:szCs w:val="21"/>
          <w:lang w:val="en-GB" w:eastAsia="zh-CN"/>
        </w:rPr>
        <w:t>, we have the following</w:t>
      </w:r>
      <w:r>
        <w:rPr>
          <w:rFonts w:hint="eastAsia" w:eastAsia="宋体"/>
          <w:bCs/>
          <w:color w:val="auto"/>
          <w:sz w:val="21"/>
          <w:szCs w:val="21"/>
          <w:lang w:val="en-US" w:eastAsia="zh-CN"/>
        </w:rPr>
        <w:t xml:space="preserve"> proposals </w:t>
      </w:r>
      <w:r>
        <w:rPr>
          <w:rFonts w:eastAsia="宋体"/>
          <w:bCs/>
          <w:color w:val="auto"/>
          <w:sz w:val="21"/>
          <w:szCs w:val="21"/>
          <w:lang w:val="en-GB" w:eastAsia="zh-CN"/>
        </w:rPr>
        <w:t xml:space="preserve">for </w:t>
      </w:r>
      <w:r>
        <w:rPr>
          <w:rFonts w:hint="eastAsia" w:eastAsia="宋体"/>
          <w:bCs/>
          <w:color w:val="auto"/>
          <w:sz w:val="21"/>
          <w:szCs w:val="21"/>
          <w:lang w:val="en-US" w:eastAsia="zh-CN"/>
        </w:rPr>
        <w:t>UL gap Tx power management use case</w:t>
      </w:r>
      <w:r>
        <w:rPr>
          <w:rFonts w:eastAsia="宋体"/>
          <w:bCs/>
          <w:color w:val="auto"/>
          <w:sz w:val="21"/>
          <w:szCs w:val="21"/>
          <w:lang w:val="en-GB" w:eastAsia="zh-CN"/>
        </w:rPr>
        <w:t>:</w:t>
      </w:r>
    </w:p>
    <w:p>
      <w:pPr>
        <w:pStyle w:val="3"/>
        <w:rPr>
          <w:rFonts w:hint="eastAsia" w:eastAsia="宋体"/>
          <w:b/>
          <w:bCs/>
          <w:color w:val="auto"/>
          <w:sz w:val="21"/>
          <w:szCs w:val="21"/>
          <w:highlight w:val="none"/>
          <w:lang w:val="en-US" w:eastAsia="zh-CN"/>
        </w:rPr>
      </w:pPr>
      <w:r>
        <w:rPr>
          <w:rFonts w:hint="eastAsia" w:eastAsia="宋体"/>
          <w:b/>
          <w:bCs/>
          <w:color w:val="auto"/>
          <w:sz w:val="21"/>
          <w:szCs w:val="21"/>
          <w:highlight w:val="none"/>
          <w:lang w:val="en-US" w:eastAsia="zh-CN"/>
        </w:rPr>
        <w:t>Proposal</w:t>
      </w:r>
      <w:r>
        <w:rPr>
          <w:rFonts w:eastAsia="宋体"/>
          <w:b/>
          <w:bCs/>
          <w:color w:val="auto"/>
          <w:sz w:val="21"/>
          <w:szCs w:val="21"/>
          <w:highlight w:val="none"/>
          <w:lang w:val="en-GB" w:eastAsia="zh-CN"/>
        </w:rPr>
        <w:t xml:space="preserve"> 1:</w:t>
      </w:r>
      <w:r>
        <w:rPr>
          <w:rFonts w:hint="eastAsia" w:eastAsia="宋体"/>
          <w:b/>
          <w:bCs/>
          <w:color w:val="auto"/>
          <w:sz w:val="21"/>
          <w:szCs w:val="21"/>
          <w:highlight w:val="none"/>
          <w:lang w:val="en-US" w:eastAsia="zh-CN"/>
        </w:rPr>
        <w:t xml:space="preserve"> </w:t>
      </w:r>
      <w:r>
        <w:rPr>
          <w:rFonts w:hint="eastAsia" w:eastAsia="宋体" w:cs="Times New Roman"/>
          <w:b/>
          <w:bCs/>
          <w:color w:val="auto"/>
          <w:sz w:val="21"/>
          <w:szCs w:val="21"/>
          <w:highlight w:val="none"/>
          <w:lang w:val="en-US" w:eastAsia="zh-CN" w:bidi="ar-SA"/>
        </w:rPr>
        <w:t>UE should also meet the existing transmit off power requirement during the BPS UL gap to avoid causing interference.</w:t>
      </w:r>
    </w:p>
    <w:p>
      <w:pPr>
        <w:pStyle w:val="3"/>
        <w:rPr>
          <w:rFonts w:hint="eastAsia" w:eastAsia="宋体" w:cs="Times New Roman"/>
          <w:b/>
          <w:bCs/>
          <w:color w:val="auto"/>
          <w:sz w:val="21"/>
          <w:szCs w:val="21"/>
          <w:highlight w:val="none"/>
          <w:lang w:val="en-GB" w:eastAsia="zh-CN" w:bidi="ar-SA"/>
        </w:rPr>
      </w:pPr>
      <w:r>
        <w:rPr>
          <w:rFonts w:hint="eastAsia" w:eastAsia="宋体"/>
          <w:b/>
          <w:bCs/>
          <w:color w:val="auto"/>
          <w:sz w:val="21"/>
          <w:szCs w:val="21"/>
          <w:highlight w:val="none"/>
          <w:lang w:val="en-US" w:eastAsia="zh-CN"/>
        </w:rPr>
        <w:t>Proposal</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2</w:t>
      </w:r>
      <w:r>
        <w:rPr>
          <w:rFonts w:hint="eastAsia" w:ascii="Times New Roman" w:hAnsi="Times New Roman" w:eastAsia="宋体" w:cs="Times New Roman"/>
          <w:b/>
          <w:bCs/>
          <w:color w:val="auto"/>
          <w:sz w:val="21"/>
          <w:szCs w:val="21"/>
          <w:highlight w:val="none"/>
          <w:lang w:val="en-US" w:eastAsia="zh-CN" w:bidi="ar-SA"/>
        </w:rPr>
        <w:t>:</w:t>
      </w:r>
      <w:r>
        <w:rPr>
          <w:rFonts w:hint="eastAsia" w:eastAsia="宋体" w:cs="Times New Roman"/>
          <w:b/>
          <w:bCs/>
          <w:color w:val="auto"/>
          <w:sz w:val="21"/>
          <w:szCs w:val="21"/>
          <w:highlight w:val="none"/>
          <w:lang w:val="en-US" w:eastAsia="zh-CN" w:bidi="ar-SA"/>
        </w:rPr>
        <w:t xml:space="preserve"> For the test methodology, Option 1 is preferred.</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8"/>
        <w:rPr>
          <w:color w:val="auto"/>
        </w:rPr>
      </w:pPr>
      <w:r>
        <w:rPr>
          <w:rFonts w:hint="eastAsia"/>
          <w:color w:val="auto"/>
          <w:lang w:val="en-US" w:eastAsia="zh-CN"/>
        </w:rPr>
        <w:t>R4-2</w:t>
      </w:r>
      <w:r>
        <w:rPr>
          <w:rFonts w:hint="eastAsia"/>
          <w:color w:val="auto"/>
          <w:highlight w:val="none"/>
          <w:lang w:val="en-US" w:eastAsia="zh-CN"/>
        </w:rPr>
        <w:t>119962</w:t>
      </w:r>
      <w:r>
        <w:rPr>
          <w:rFonts w:hint="eastAsia"/>
          <w:color w:val="auto"/>
          <w:lang w:val="en-US" w:eastAsia="zh-CN"/>
        </w:rPr>
        <w:t xml:space="preserve">, </w:t>
      </w:r>
      <w:r>
        <w:rPr>
          <w:rFonts w:hint="default"/>
          <w:color w:val="auto"/>
          <w:lang w:val="en-US" w:eastAsia="zh-CN"/>
        </w:rPr>
        <w:t>“</w:t>
      </w:r>
      <w:r>
        <w:rPr>
          <w:rFonts w:hint="eastAsia"/>
          <w:color w:val="auto"/>
          <w:lang w:val="en-US" w:eastAsia="zh-CN"/>
        </w:rPr>
        <w:t>WF on FR2 enhancement part 2: UL gaps</w:t>
      </w:r>
      <w:r>
        <w:rPr>
          <w:rFonts w:hint="default"/>
          <w:color w:val="auto"/>
          <w:lang w:val="en-US" w:eastAsia="zh-CN"/>
        </w:rPr>
        <w:t>”</w:t>
      </w:r>
      <w:r>
        <w:rPr>
          <w:rFonts w:hint="eastAsia"/>
          <w:color w:val="auto"/>
          <w:lang w:val="en-US" w:eastAsia="zh-CN"/>
        </w:rPr>
        <w:t>, Apple.</w:t>
      </w:r>
    </w:p>
    <w:p>
      <w:pPr>
        <w:pStyle w:val="8"/>
        <w:rPr>
          <w:color w:val="auto"/>
        </w:rPr>
      </w:pPr>
      <w:r>
        <w:rPr>
          <w:rFonts w:hint="eastAsia"/>
          <w:color w:val="auto"/>
          <w:lang w:val="en-US" w:eastAsia="zh-CN"/>
        </w:rPr>
        <w:t xml:space="preserve">R4-2112635, </w:t>
      </w:r>
      <w:r>
        <w:rPr>
          <w:rFonts w:hint="default"/>
          <w:color w:val="auto"/>
          <w:lang w:val="en-US" w:eastAsia="zh-CN"/>
        </w:rPr>
        <w:t>“RF requirements and NW configuration for UL gap”</w:t>
      </w:r>
      <w:r>
        <w:rPr>
          <w:rFonts w:hint="eastAsia"/>
          <w:color w:val="auto"/>
          <w:lang w:val="en-US" w:eastAsia="zh-CN"/>
        </w:rPr>
        <w:t>, NTT DOCOMO.</w:t>
      </w:r>
    </w:p>
    <w:p>
      <w:pPr>
        <w:pStyle w:val="8"/>
        <w:numPr>
          <w:ilvl w:val="0"/>
          <w:numId w:val="0"/>
        </w:numPr>
        <w:ind w:leftChars="0"/>
        <w:rPr>
          <w:rFonts w:hint="default" w:eastAsia="宋体"/>
          <w:color w:val="auto"/>
          <w:lang w:val="en-US" w:eastAsia="zh-CN"/>
        </w:rPr>
      </w:pPr>
    </w:p>
    <w:p>
      <w:pPr>
        <w:pStyle w:val="8"/>
        <w:numPr>
          <w:ilvl w:val="0"/>
          <w:numId w:val="0"/>
        </w:numPr>
        <w:ind w:leftChars="0"/>
        <w:rPr>
          <w:color w:val="auto"/>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Yu Mincho">
    <w:altName w:val="MS Mincho"/>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4AC35B0A"/>
    <w:multiLevelType w:val="multilevel"/>
    <w:tmpl w:val="4AC35B0A"/>
    <w:lvl w:ilvl="0" w:tentative="0">
      <w:start w:val="1"/>
      <w:numFmt w:val="bullet"/>
      <w:lvlText w:val=""/>
      <w:lvlJc w:val="left"/>
      <w:pPr>
        <w:ind w:left="704" w:hanging="420"/>
      </w:pPr>
      <w:rPr>
        <w:rFonts w:hint="default" w:ascii="Wingdings" w:hAnsi="Wingdings"/>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2">
    <w:nsid w:val="4D6E3167"/>
    <w:multiLevelType w:val="multilevel"/>
    <w:tmpl w:val="4D6E3167"/>
    <w:lvl w:ilvl="0" w:tentative="0">
      <w:start w:val="1"/>
      <w:numFmt w:val="decimal"/>
      <w:pStyle w:val="40"/>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4">
    <w:nsid w:val="6B5B4F67"/>
    <w:multiLevelType w:val="multilevel"/>
    <w:tmpl w:val="6B5B4F67"/>
    <w:lvl w:ilvl="0" w:tentative="0">
      <w:start w:val="1"/>
      <w:numFmt w:val="decimal"/>
      <w:pStyle w:val="8"/>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5">
    <w:nsid w:val="6B6954F7"/>
    <w:multiLevelType w:val="singleLevel"/>
    <w:tmpl w:val="6B6954F7"/>
    <w:lvl w:ilvl="0" w:tentative="0">
      <w:start w:val="1"/>
      <w:numFmt w:val="bullet"/>
      <w:lvlText w:val=""/>
      <w:lvlJc w:val="left"/>
      <w:pPr>
        <w:ind w:left="420" w:hanging="420"/>
      </w:pPr>
      <w:rPr>
        <w:rFonts w:hint="default" w:ascii="Wingdings" w:hAnsi="Wingdings"/>
      </w:rPr>
    </w:lvl>
  </w:abstractNum>
  <w:num w:numId="1">
    <w:abstractNumId w:val="4"/>
  </w:num>
  <w:num w:numId="2">
    <w:abstractNumId w:val="2"/>
  </w:num>
  <w:num w:numId="3">
    <w:abstractNumId w:val="0"/>
  </w:num>
  <w:num w:numId="4">
    <w:abstractNumId w:val="1"/>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405471F"/>
    <w:rsid w:val="045D5DCE"/>
    <w:rsid w:val="05200480"/>
    <w:rsid w:val="0659795C"/>
    <w:rsid w:val="06AA1695"/>
    <w:rsid w:val="07CD3CDD"/>
    <w:rsid w:val="0CC1076F"/>
    <w:rsid w:val="0EB818E5"/>
    <w:rsid w:val="0F4B67EF"/>
    <w:rsid w:val="0F5E2230"/>
    <w:rsid w:val="10845506"/>
    <w:rsid w:val="10DA5664"/>
    <w:rsid w:val="11481B13"/>
    <w:rsid w:val="12CB53F3"/>
    <w:rsid w:val="13060AA5"/>
    <w:rsid w:val="16133E3F"/>
    <w:rsid w:val="16E7731D"/>
    <w:rsid w:val="1711066F"/>
    <w:rsid w:val="17542C92"/>
    <w:rsid w:val="18800EB0"/>
    <w:rsid w:val="18AA5B3E"/>
    <w:rsid w:val="194122C5"/>
    <w:rsid w:val="1B1D70A1"/>
    <w:rsid w:val="1B5A5199"/>
    <w:rsid w:val="1BD31CD2"/>
    <w:rsid w:val="2082712A"/>
    <w:rsid w:val="21235B87"/>
    <w:rsid w:val="21B11B74"/>
    <w:rsid w:val="231F3A56"/>
    <w:rsid w:val="24715F69"/>
    <w:rsid w:val="263D51AB"/>
    <w:rsid w:val="2B034D47"/>
    <w:rsid w:val="2D8824A9"/>
    <w:rsid w:val="2DBD3842"/>
    <w:rsid w:val="2DBD3CB8"/>
    <w:rsid w:val="2E1176AC"/>
    <w:rsid w:val="2ECB7AE0"/>
    <w:rsid w:val="2F196F3B"/>
    <w:rsid w:val="2F6A7113"/>
    <w:rsid w:val="30C973EB"/>
    <w:rsid w:val="315E6454"/>
    <w:rsid w:val="33325176"/>
    <w:rsid w:val="33672BF5"/>
    <w:rsid w:val="34C02500"/>
    <w:rsid w:val="3A0D4EA0"/>
    <w:rsid w:val="3C4E1516"/>
    <w:rsid w:val="3D0F477C"/>
    <w:rsid w:val="3D6F2596"/>
    <w:rsid w:val="3FF32B7B"/>
    <w:rsid w:val="404F7A6B"/>
    <w:rsid w:val="40C765F3"/>
    <w:rsid w:val="40CC463F"/>
    <w:rsid w:val="40FC7E20"/>
    <w:rsid w:val="42CE6A0F"/>
    <w:rsid w:val="42E26F89"/>
    <w:rsid w:val="43C320E4"/>
    <w:rsid w:val="455509E4"/>
    <w:rsid w:val="45F60A50"/>
    <w:rsid w:val="46157ABD"/>
    <w:rsid w:val="46280997"/>
    <w:rsid w:val="475B6C10"/>
    <w:rsid w:val="477801EF"/>
    <w:rsid w:val="47DB43C5"/>
    <w:rsid w:val="4C825CEC"/>
    <w:rsid w:val="4CC53F61"/>
    <w:rsid w:val="4D513299"/>
    <w:rsid w:val="4E6F0AEA"/>
    <w:rsid w:val="4EA56C23"/>
    <w:rsid w:val="4F0B3630"/>
    <w:rsid w:val="4F9305DC"/>
    <w:rsid w:val="4F9A0BDA"/>
    <w:rsid w:val="4FBD6EC5"/>
    <w:rsid w:val="51B14BED"/>
    <w:rsid w:val="51CF00E7"/>
    <w:rsid w:val="52F664E7"/>
    <w:rsid w:val="52FE4FB2"/>
    <w:rsid w:val="54175BE1"/>
    <w:rsid w:val="544A23E1"/>
    <w:rsid w:val="560E743D"/>
    <w:rsid w:val="564B25D4"/>
    <w:rsid w:val="566165B2"/>
    <w:rsid w:val="56D06899"/>
    <w:rsid w:val="56F1617C"/>
    <w:rsid w:val="58E11E6E"/>
    <w:rsid w:val="590733E0"/>
    <w:rsid w:val="59E05DA7"/>
    <w:rsid w:val="5A151B9F"/>
    <w:rsid w:val="5A26004C"/>
    <w:rsid w:val="5D103461"/>
    <w:rsid w:val="5F7F3C30"/>
    <w:rsid w:val="60552863"/>
    <w:rsid w:val="6086070B"/>
    <w:rsid w:val="63357437"/>
    <w:rsid w:val="6544784D"/>
    <w:rsid w:val="65B11A6D"/>
    <w:rsid w:val="65CD0C5C"/>
    <w:rsid w:val="65F872D3"/>
    <w:rsid w:val="66E759DF"/>
    <w:rsid w:val="68105991"/>
    <w:rsid w:val="68797DD1"/>
    <w:rsid w:val="68A411BE"/>
    <w:rsid w:val="6BD66290"/>
    <w:rsid w:val="6C7858D5"/>
    <w:rsid w:val="6CF36133"/>
    <w:rsid w:val="6DDE3DAF"/>
    <w:rsid w:val="70A55C85"/>
    <w:rsid w:val="7123768D"/>
    <w:rsid w:val="715F4C2D"/>
    <w:rsid w:val="730A4578"/>
    <w:rsid w:val="75F31A2B"/>
    <w:rsid w:val="76DB757D"/>
    <w:rsid w:val="77770209"/>
    <w:rsid w:val="77B7237F"/>
    <w:rsid w:val="7AB943F6"/>
    <w:rsid w:val="7C45431D"/>
    <w:rsid w:val="7C963B24"/>
    <w:rsid w:val="7CB33AB9"/>
    <w:rsid w:val="7DC00471"/>
    <w:rsid w:val="7DDD0501"/>
    <w:rsid w:val="7E2B63E7"/>
    <w:rsid w:val="7E935AFB"/>
    <w:rsid w:val="7FC90A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3"/>
    <w:link w:val="19"/>
    <w:qFormat/>
    <w:uiPriority w:val="0"/>
    <w:pPr>
      <w:keepNext/>
      <w:spacing w:before="240" w:after="60"/>
      <w:outlineLvl w:val="0"/>
    </w:pPr>
    <w:rPr>
      <w:rFonts w:ascii="Helvetica" w:hAnsi="Helvetica" w:eastAsia="MS Mincho"/>
      <w:b/>
      <w:bCs/>
      <w:kern w:val="32"/>
      <w:sz w:val="28"/>
      <w:szCs w:val="32"/>
      <w:lang w:val="zh-CN"/>
    </w:rPr>
  </w:style>
  <w:style w:type="paragraph" w:styleId="4">
    <w:name w:val="heading 2"/>
    <w:basedOn w:val="1"/>
    <w:next w:val="1"/>
    <w:link w:val="20"/>
    <w:qFormat/>
    <w:uiPriority w:val="0"/>
    <w:pPr>
      <w:keepNext/>
      <w:spacing w:before="240" w:after="60"/>
      <w:outlineLvl w:val="1"/>
    </w:pPr>
    <w:rPr>
      <w:rFonts w:ascii="Helvetica" w:hAnsi="Helvetica" w:eastAsia="MS Mincho"/>
      <w:b/>
      <w:bCs/>
      <w:iCs/>
      <w:szCs w:val="28"/>
      <w:lang w:val="zh-CN"/>
    </w:rPr>
  </w:style>
  <w:style w:type="paragraph" w:styleId="5">
    <w:name w:val="heading 3"/>
    <w:basedOn w:val="4"/>
    <w:next w:val="1"/>
    <w:link w:val="47"/>
    <w:unhideWhenUsed/>
    <w:qFormat/>
    <w:uiPriority w:val="9"/>
    <w:pPr>
      <w:keepNext/>
      <w:keepLines/>
      <w:spacing w:before="260" w:after="260" w:line="416" w:lineRule="auto"/>
      <w:outlineLvl w:val="2"/>
    </w:pPr>
    <w:rPr>
      <w:sz w:val="32"/>
      <w:szCs w:val="32"/>
    </w:rPr>
  </w:style>
  <w:style w:type="character" w:default="1" w:styleId="17">
    <w:name w:val="Default Paragraph Font"/>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21"/>
    <w:qFormat/>
    <w:uiPriority w:val="0"/>
    <w:pPr>
      <w:spacing w:after="120"/>
      <w:jc w:val="both"/>
    </w:pPr>
    <w:rPr>
      <w:rFonts w:eastAsia="MS Mincho"/>
      <w:lang w:val="zh-CN"/>
    </w:r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27"/>
    <w:semiHidden/>
    <w:unhideWhenUsed/>
    <w:qFormat/>
    <w:uiPriority w:val="99"/>
    <w:rPr>
      <w:rFonts w:ascii="宋体" w:eastAsia="宋体"/>
      <w:sz w:val="18"/>
      <w:szCs w:val="18"/>
    </w:rPr>
  </w:style>
  <w:style w:type="paragraph" w:styleId="8">
    <w:name w:val="List 2"/>
    <w:basedOn w:val="9"/>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9">
    <w:name w:val="List"/>
    <w:basedOn w:val="1"/>
    <w:semiHidden/>
    <w:unhideWhenUsed/>
    <w:qFormat/>
    <w:uiPriority w:val="99"/>
    <w:pPr>
      <w:ind w:left="200" w:hanging="200" w:hangingChars="200"/>
      <w:contextualSpacing/>
    </w:pPr>
  </w:style>
  <w:style w:type="paragraph" w:styleId="10">
    <w:name w:val="Date"/>
    <w:basedOn w:val="1"/>
    <w:next w:val="1"/>
    <w:link w:val="44"/>
    <w:semiHidden/>
    <w:unhideWhenUsed/>
    <w:qFormat/>
    <w:uiPriority w:val="99"/>
    <w:pPr>
      <w:ind w:left="100" w:leftChars="2500"/>
    </w:pPr>
  </w:style>
  <w:style w:type="paragraph" w:styleId="11">
    <w:name w:val="Balloon Text"/>
    <w:basedOn w:val="1"/>
    <w:link w:val="25"/>
    <w:semiHidden/>
    <w:unhideWhenUsed/>
    <w:qFormat/>
    <w:uiPriority w:val="99"/>
    <w:rPr>
      <w:sz w:val="18"/>
      <w:szCs w:val="18"/>
      <w:lang w:val="zh-CN"/>
    </w:rPr>
  </w:style>
  <w:style w:type="paragraph" w:styleId="12">
    <w:name w:val="footer"/>
    <w:basedOn w:val="1"/>
    <w:link w:val="24"/>
    <w:unhideWhenUsed/>
    <w:qFormat/>
    <w:uiPriority w:val="99"/>
    <w:pPr>
      <w:tabs>
        <w:tab w:val="center" w:pos="4153"/>
        <w:tab w:val="right" w:pos="8306"/>
      </w:tabs>
      <w:snapToGrid w:val="0"/>
    </w:pPr>
    <w:rPr>
      <w:sz w:val="18"/>
      <w:szCs w:val="18"/>
      <w:lang w:val="zh-CN"/>
    </w:rPr>
  </w:style>
  <w:style w:type="paragraph" w:styleId="13">
    <w:name w:val="header"/>
    <w:basedOn w:val="1"/>
    <w:link w:val="22"/>
    <w:qFormat/>
    <w:uiPriority w:val="0"/>
    <w:pPr>
      <w:tabs>
        <w:tab w:val="center" w:pos="4536"/>
        <w:tab w:val="right" w:pos="9072"/>
      </w:tabs>
    </w:pPr>
    <w:rPr>
      <w:rFonts w:ascii="Arial" w:hAnsi="Arial" w:eastAsia="MS Mincho"/>
      <w:b/>
      <w:lang w:val="zh-CN"/>
    </w:rPr>
  </w:style>
  <w:style w:type="paragraph" w:styleId="14">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Hyperlink"/>
    <w:qFormat/>
    <w:uiPriority w:val="99"/>
    <w:rPr>
      <w:color w:val="0000FF"/>
      <w:u w:val="single"/>
    </w:rPr>
  </w:style>
  <w:style w:type="character" w:customStyle="1" w:styleId="19">
    <w:name w:val="Heading 1 Char"/>
    <w:link w:val="2"/>
    <w:qFormat/>
    <w:uiPriority w:val="0"/>
    <w:rPr>
      <w:rFonts w:ascii="Helvetica" w:hAnsi="Helvetica" w:eastAsia="MS Mincho" w:cs="Times New Roman"/>
      <w:b/>
      <w:bCs/>
      <w:kern w:val="32"/>
      <w:sz w:val="28"/>
      <w:szCs w:val="32"/>
      <w:lang w:val="zh-CN" w:eastAsia="en-US"/>
    </w:rPr>
  </w:style>
  <w:style w:type="character" w:customStyle="1" w:styleId="20">
    <w:name w:val="Heading 2 Char1"/>
    <w:link w:val="4"/>
    <w:qFormat/>
    <w:uiPriority w:val="0"/>
    <w:rPr>
      <w:rFonts w:ascii="Helvetica" w:hAnsi="Helvetica" w:eastAsia="MS Mincho" w:cs="Times New Roman"/>
      <w:b/>
      <w:bCs/>
      <w:iCs/>
      <w:kern w:val="0"/>
      <w:sz w:val="20"/>
      <w:szCs w:val="28"/>
      <w:lang w:val="zh-CN" w:eastAsia="en-US"/>
    </w:rPr>
  </w:style>
  <w:style w:type="character" w:customStyle="1" w:styleId="21">
    <w:name w:val="Body Text Char"/>
    <w:link w:val="3"/>
    <w:qFormat/>
    <w:uiPriority w:val="0"/>
    <w:rPr>
      <w:rFonts w:ascii="Times New Roman" w:hAnsi="Times New Roman" w:eastAsia="MS Mincho" w:cs="Times New Roman"/>
      <w:kern w:val="0"/>
      <w:sz w:val="20"/>
      <w:szCs w:val="24"/>
      <w:lang w:val="zh-CN" w:eastAsia="en-US"/>
    </w:rPr>
  </w:style>
  <w:style w:type="character" w:customStyle="1" w:styleId="22">
    <w:name w:val="Header Char"/>
    <w:link w:val="13"/>
    <w:qFormat/>
    <w:uiPriority w:val="0"/>
    <w:rPr>
      <w:rFonts w:ascii="Arial" w:hAnsi="Arial" w:eastAsia="MS Mincho" w:cs="Times New Roman"/>
      <w:b/>
      <w:kern w:val="0"/>
      <w:sz w:val="20"/>
      <w:szCs w:val="24"/>
      <w:lang w:val="zh-CN" w:eastAsia="en-US"/>
    </w:rPr>
  </w:style>
  <w:style w:type="paragraph" w:customStyle="1" w:styleId="23">
    <w:name w:val="Paragraphe de liste"/>
    <w:basedOn w:val="1"/>
    <w:qFormat/>
    <w:uiPriority w:val="34"/>
    <w:pPr>
      <w:ind w:left="720"/>
    </w:pPr>
    <w:rPr>
      <w:rFonts w:eastAsia="宋体"/>
      <w:sz w:val="24"/>
      <w:lang w:val="fr-FR" w:eastAsia="zh-CN"/>
    </w:rPr>
  </w:style>
  <w:style w:type="character" w:customStyle="1" w:styleId="24">
    <w:name w:val="Footer Char"/>
    <w:link w:val="12"/>
    <w:qFormat/>
    <w:uiPriority w:val="99"/>
    <w:rPr>
      <w:rFonts w:ascii="Times New Roman" w:hAnsi="Times New Roman" w:eastAsia="Times New Roman" w:cs="Times New Roman"/>
      <w:kern w:val="0"/>
      <w:sz w:val="18"/>
      <w:szCs w:val="18"/>
      <w:lang w:eastAsia="en-US"/>
    </w:rPr>
  </w:style>
  <w:style w:type="character" w:customStyle="1" w:styleId="25">
    <w:name w:val="Balloon Text Char"/>
    <w:link w:val="11"/>
    <w:semiHidden/>
    <w:qFormat/>
    <w:uiPriority w:val="99"/>
    <w:rPr>
      <w:rFonts w:ascii="Times New Roman" w:hAnsi="Times New Roman" w:eastAsia="Times New Roman" w:cs="Times New Roman"/>
      <w:kern w:val="0"/>
      <w:sz w:val="18"/>
      <w:szCs w:val="18"/>
      <w:lang w:eastAsia="en-US"/>
    </w:rPr>
  </w:style>
  <w:style w:type="paragraph" w:styleId="26">
    <w:name w:val="List Paragraph"/>
    <w:basedOn w:val="1"/>
    <w:link w:val="42"/>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7">
    <w:name w:val="Document Map Char"/>
    <w:link w:val="7"/>
    <w:semiHidden/>
    <w:qFormat/>
    <w:uiPriority w:val="99"/>
    <w:rPr>
      <w:rFonts w:ascii="宋体" w:hAnsi="Times New Roman"/>
      <w:sz w:val="18"/>
      <w:szCs w:val="18"/>
      <w:lang w:eastAsia="en-US"/>
    </w:rPr>
  </w:style>
  <w:style w:type="paragraph" w:customStyle="1" w:styleId="28">
    <w:name w:val="B1"/>
    <w:basedOn w:val="9"/>
    <w:link w:val="29"/>
    <w:qFormat/>
    <w:uiPriority w:val="0"/>
    <w:pPr>
      <w:spacing w:after="180"/>
      <w:ind w:left="568" w:hanging="284" w:firstLineChars="0"/>
      <w:contextualSpacing w:val="0"/>
    </w:pPr>
    <w:rPr>
      <w:rFonts w:eastAsia="宋体"/>
      <w:szCs w:val="20"/>
      <w:lang w:val="en-GB"/>
    </w:rPr>
  </w:style>
  <w:style w:type="character" w:customStyle="1" w:styleId="29">
    <w:name w:val="B1 (文字)"/>
    <w:link w:val="28"/>
    <w:qFormat/>
    <w:locked/>
    <w:uiPriority w:val="0"/>
    <w:rPr>
      <w:rFonts w:ascii="Times New Roman" w:hAnsi="Times New Roman"/>
      <w:lang w:val="en-GB" w:eastAsia="en-US"/>
    </w:rPr>
  </w:style>
  <w:style w:type="character" w:customStyle="1" w:styleId="30">
    <w:name w:val="B1 Char1"/>
    <w:qFormat/>
    <w:uiPriority w:val="0"/>
    <w:rPr>
      <w:lang w:val="en-GB" w:eastAsia="en-US"/>
    </w:rPr>
  </w:style>
  <w:style w:type="paragraph" w:customStyle="1" w:styleId="31">
    <w:name w:val="TAH"/>
    <w:basedOn w:val="32"/>
    <w:link w:val="37"/>
    <w:qFormat/>
    <w:uiPriority w:val="0"/>
    <w:rPr>
      <w:b/>
    </w:rPr>
  </w:style>
  <w:style w:type="paragraph" w:customStyle="1" w:styleId="32">
    <w:name w:val="TAC"/>
    <w:basedOn w:val="33"/>
    <w:link w:val="36"/>
    <w:qFormat/>
    <w:uiPriority w:val="0"/>
    <w:pPr>
      <w:keepNext/>
      <w:keepLines/>
      <w:jc w:val="center"/>
    </w:pPr>
    <w:rPr>
      <w:rFonts w:ascii="Arial" w:hAnsi="Arial" w:eastAsia="宋体"/>
      <w:sz w:val="18"/>
      <w:szCs w:val="20"/>
      <w:lang w:val="en-GB" w:eastAsia="zh-CN"/>
    </w:rPr>
  </w:style>
  <w:style w:type="paragraph" w:customStyle="1" w:styleId="33">
    <w:name w:val="TAL"/>
    <w:basedOn w:val="1"/>
    <w:link w:val="46"/>
    <w:qFormat/>
    <w:uiPriority w:val="0"/>
    <w:pPr>
      <w:keepNext/>
      <w:keepLines/>
    </w:pPr>
    <w:rPr>
      <w:rFonts w:ascii="Arial" w:hAnsi="Arial" w:eastAsia="宋体"/>
      <w:sz w:val="18"/>
      <w:szCs w:val="20"/>
      <w:lang w:val="en-GB"/>
    </w:rPr>
  </w:style>
  <w:style w:type="paragraph" w:customStyle="1" w:styleId="34">
    <w:name w:val="TH"/>
    <w:basedOn w:val="1"/>
    <w:link w:val="35"/>
    <w:qFormat/>
    <w:uiPriority w:val="0"/>
    <w:pPr>
      <w:keepNext/>
      <w:keepLines/>
      <w:spacing w:before="60" w:after="180"/>
      <w:jc w:val="center"/>
    </w:pPr>
    <w:rPr>
      <w:rFonts w:ascii="Arial" w:hAnsi="Arial" w:eastAsia="宋体"/>
      <w:b/>
      <w:szCs w:val="20"/>
      <w:lang w:val="en-GB" w:eastAsia="zh-CN"/>
    </w:rPr>
  </w:style>
  <w:style w:type="character" w:customStyle="1" w:styleId="35">
    <w:name w:val="TH Char"/>
    <w:link w:val="34"/>
    <w:qFormat/>
    <w:uiPriority w:val="0"/>
    <w:rPr>
      <w:rFonts w:ascii="Arial" w:hAnsi="Arial" w:eastAsia="宋体"/>
      <w:b/>
      <w:lang w:val="en-GB" w:eastAsia="zh-CN"/>
    </w:rPr>
  </w:style>
  <w:style w:type="character" w:customStyle="1" w:styleId="36">
    <w:name w:val="TAC Char"/>
    <w:link w:val="32"/>
    <w:qFormat/>
    <w:uiPriority w:val="0"/>
    <w:rPr>
      <w:rFonts w:ascii="Arial" w:hAnsi="Arial" w:eastAsia="宋体"/>
      <w:sz w:val="18"/>
      <w:lang w:val="en-GB" w:eastAsia="zh-CN"/>
    </w:rPr>
  </w:style>
  <w:style w:type="character" w:customStyle="1" w:styleId="37">
    <w:name w:val="TAH Car"/>
    <w:link w:val="31"/>
    <w:qFormat/>
    <w:uiPriority w:val="0"/>
    <w:rPr>
      <w:rFonts w:ascii="Arial" w:hAnsi="Arial" w:eastAsia="宋体"/>
      <w:b/>
      <w:sz w:val="18"/>
      <w:lang w:val="en-GB" w:eastAsia="zh-CN"/>
    </w:rPr>
  </w:style>
  <w:style w:type="paragraph" w:customStyle="1" w:styleId="3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39">
    <w:name w:val="TAR"/>
    <w:basedOn w:val="1"/>
    <w:qFormat/>
    <w:uiPriority w:val="0"/>
    <w:pPr>
      <w:keepNext/>
      <w:keepLines/>
      <w:jc w:val="right"/>
    </w:pPr>
    <w:rPr>
      <w:rFonts w:ascii="Arial" w:hAnsi="Arial" w:eastAsia="宋体"/>
      <w:sz w:val="18"/>
      <w:szCs w:val="20"/>
      <w:lang w:val="en-GB"/>
    </w:rPr>
  </w:style>
  <w:style w:type="paragraph" w:customStyle="1" w:styleId="40">
    <w:name w:val="RAN4 proposal"/>
    <w:basedOn w:val="6"/>
    <w:next w:val="1"/>
    <w:link w:val="41"/>
    <w:qFormat/>
    <w:uiPriority w:val="0"/>
    <w:pPr>
      <w:numPr>
        <w:ilvl w:val="0"/>
        <w:numId w:val="2"/>
      </w:numPr>
      <w:spacing w:after="200"/>
      <w:ind w:left="0" w:firstLine="0"/>
    </w:pPr>
    <w:rPr>
      <w:rFonts w:ascii="Times New Roman" w:hAnsi="Times New Roman" w:eastAsia="宋体"/>
      <w:b/>
      <w:iCs/>
      <w:szCs w:val="18"/>
    </w:rPr>
  </w:style>
  <w:style w:type="character" w:customStyle="1" w:styleId="41">
    <w:name w:val="RAN4 proposal Char"/>
    <w:link w:val="40"/>
    <w:qFormat/>
    <w:uiPriority w:val="0"/>
    <w:rPr>
      <w:rFonts w:ascii="Times New Roman" w:hAnsi="Times New Roman"/>
      <w:b/>
      <w:iCs/>
      <w:szCs w:val="18"/>
      <w:lang w:eastAsia="en-US"/>
    </w:rPr>
  </w:style>
  <w:style w:type="character" w:customStyle="1" w:styleId="42">
    <w:name w:val="List Paragraph Char"/>
    <w:link w:val="26"/>
    <w:qFormat/>
    <w:uiPriority w:val="34"/>
    <w:rPr>
      <w:kern w:val="2"/>
      <w:sz w:val="21"/>
      <w:szCs w:val="22"/>
    </w:rPr>
  </w:style>
  <w:style w:type="character" w:customStyle="1" w:styleId="43">
    <w:name w:val="ZGSM"/>
    <w:qFormat/>
    <w:uiPriority w:val="0"/>
  </w:style>
  <w:style w:type="character" w:customStyle="1" w:styleId="44">
    <w:name w:val="Date Char"/>
    <w:link w:val="10"/>
    <w:semiHidden/>
    <w:qFormat/>
    <w:uiPriority w:val="99"/>
    <w:rPr>
      <w:rFonts w:ascii="Times New Roman" w:hAnsi="Times New Roman" w:eastAsia="Times New Roman"/>
      <w:szCs w:val="24"/>
      <w:lang w:eastAsia="en-US"/>
    </w:rPr>
  </w:style>
  <w:style w:type="paragraph" w:customStyle="1" w:styleId="45">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6">
    <w:name w:val="TAL Char"/>
    <w:link w:val="33"/>
    <w:qFormat/>
    <w:uiPriority w:val="0"/>
    <w:rPr>
      <w:rFonts w:ascii="Arial" w:hAnsi="Arial"/>
      <w:sz w:val="18"/>
      <w:lang w:val="en-GB" w:eastAsia="en-US"/>
    </w:rPr>
  </w:style>
  <w:style w:type="character" w:customStyle="1" w:styleId="47">
    <w:name w:val="Heading 3 Char"/>
    <w:link w:val="5"/>
    <w:qFormat/>
    <w:uiPriority w:val="9"/>
    <w:rPr>
      <w:rFonts w:ascii="Times New Roman" w:hAnsi="Times New Roman" w:eastAsia="Times New Roman"/>
      <w:b/>
      <w:bCs/>
      <w:sz w:val="32"/>
      <w:szCs w:val="32"/>
      <w:lang w:eastAsia="en-US"/>
    </w:rPr>
  </w:style>
  <w:style w:type="character" w:customStyle="1" w:styleId="48">
    <w:name w:val="TAL Car"/>
    <w:qFormat/>
    <w:uiPriority w:val="0"/>
    <w:rPr>
      <w:rFonts w:ascii="Arial" w:hAnsi="Arial" w:eastAsia="Times New Roman" w:cs="Times New Roman"/>
      <w:kern w:val="0"/>
      <w:sz w:val="18"/>
      <w:szCs w:val="20"/>
      <w:lang w:val="en-GB" w:eastAsia="ko-KR"/>
    </w:rPr>
  </w:style>
  <w:style w:type="paragraph" w:customStyle="1" w:styleId="49">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0</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2022-01-10T02:40:43Z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